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shd w:val="clear" w:color="auto" w:fill="FFFFFF"/>
        <w:tblCellMar>
          <w:left w:w="0" w:type="dxa"/>
          <w:right w:w="0" w:type="dxa"/>
        </w:tblCellMar>
        <w:tblLook w:val="04A0" w:firstRow="1" w:lastRow="0" w:firstColumn="1" w:lastColumn="0" w:noHBand="0" w:noVBand="1"/>
      </w:tblPr>
      <w:tblGrid>
        <w:gridCol w:w="1956"/>
        <w:gridCol w:w="528"/>
        <w:gridCol w:w="5089"/>
        <w:gridCol w:w="1499"/>
      </w:tblGrid>
      <w:tr w:rsidR="001C701D" w:rsidRPr="001C701D" w:rsidTr="001C701D">
        <w:tc>
          <w:tcPr>
            <w:tcW w:w="0" w:type="auto"/>
            <w:shd w:val="clear" w:color="auto" w:fill="FFFFFF"/>
            <w:vAlign w:val="center"/>
            <w:hideMark/>
          </w:tcPr>
          <w:p w:rsidR="001C701D" w:rsidRPr="001C701D" w:rsidRDefault="001C701D" w:rsidP="001C701D">
            <w:pPr>
              <w:spacing w:before="120" w:after="120" w:line="312" w:lineRule="atLeast"/>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22.6.2020   </w:t>
            </w:r>
          </w:p>
        </w:tc>
        <w:tc>
          <w:tcPr>
            <w:tcW w:w="0" w:type="auto"/>
            <w:shd w:val="clear" w:color="auto" w:fill="FFFFFF"/>
            <w:vAlign w:val="center"/>
            <w:hideMark/>
          </w:tcPr>
          <w:p w:rsidR="001C701D" w:rsidRPr="001C701D" w:rsidRDefault="001C701D" w:rsidP="001C701D">
            <w:pPr>
              <w:pBdr>
                <w:top w:val="single" w:sz="6" w:space="0" w:color="000000"/>
                <w:left w:val="single" w:sz="6" w:space="0" w:color="000000"/>
                <w:bottom w:val="single" w:sz="6" w:space="0" w:color="000000"/>
                <w:right w:val="single" w:sz="6" w:space="0" w:color="000000"/>
              </w:pBdr>
              <w:spacing w:before="120" w:after="120" w:line="312" w:lineRule="atLeast"/>
              <w:jc w:val="center"/>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TR</w:t>
            </w:r>
          </w:p>
        </w:tc>
        <w:tc>
          <w:tcPr>
            <w:tcW w:w="0" w:type="auto"/>
            <w:shd w:val="clear" w:color="auto" w:fill="FFFFFF"/>
            <w:vAlign w:val="center"/>
            <w:hideMark/>
          </w:tcPr>
          <w:p w:rsidR="001C701D" w:rsidRPr="001C701D" w:rsidRDefault="001C701D" w:rsidP="001C701D">
            <w:pPr>
              <w:spacing w:before="120" w:after="120" w:line="312" w:lineRule="atLeast"/>
              <w:jc w:val="center"/>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Avrupa Birliği Resmi Gazetesi</w:t>
            </w:r>
          </w:p>
        </w:tc>
        <w:tc>
          <w:tcPr>
            <w:tcW w:w="0" w:type="auto"/>
            <w:shd w:val="clear" w:color="auto" w:fill="FFFFFF"/>
            <w:vAlign w:val="center"/>
            <w:hideMark/>
          </w:tcPr>
          <w:p w:rsidR="001C701D" w:rsidRPr="001C701D" w:rsidRDefault="001C701D" w:rsidP="001C701D">
            <w:pPr>
              <w:spacing w:before="120" w:after="120" w:line="312" w:lineRule="atLeast"/>
              <w:jc w:val="right"/>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L 198/13</w:t>
            </w:r>
          </w:p>
        </w:tc>
      </w:tr>
    </w:tbl>
    <w:p w:rsidR="001C701D" w:rsidRPr="001C701D" w:rsidRDefault="001C701D" w:rsidP="001C701D">
      <w:pPr>
        <w:spacing w:before="60" w:after="60" w:line="240" w:lineRule="auto"/>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pict>
          <v:rect id="_x0000_i1025" style="width:654.4pt;height:.75pt" o:hrpct="0" o:hralign="center" o:hrstd="t" o:hrnoshade="t" o:hr="t" fillcolor="black" stroked="f"/>
        </w:pict>
      </w:r>
    </w:p>
    <w:p w:rsidR="001C701D" w:rsidRPr="001C701D" w:rsidRDefault="001C701D" w:rsidP="001C701D">
      <w:pPr>
        <w:shd w:val="clear" w:color="auto" w:fill="FFFFFF"/>
        <w:spacing w:before="240" w:after="120" w:line="312" w:lineRule="atLeast"/>
        <w:jc w:val="center"/>
        <w:rPr>
          <w:rFonts w:ascii="Times New Roman" w:eastAsia="Times New Roman" w:hAnsi="Times New Roman" w:cs="Times New Roman"/>
          <w:b/>
          <w:bCs/>
          <w:color w:val="333333"/>
          <w:sz w:val="27"/>
          <w:szCs w:val="27"/>
          <w:lang w:eastAsia="tr-TR"/>
        </w:rPr>
      </w:pPr>
      <w:bookmarkStart w:id="0" w:name="_GoBack"/>
      <w:r w:rsidRPr="001C701D">
        <w:rPr>
          <w:rFonts w:ascii="Times New Roman" w:eastAsia="Times New Roman" w:hAnsi="Times New Roman" w:cs="Times New Roman"/>
          <w:b/>
          <w:bCs/>
          <w:color w:val="333333"/>
          <w:sz w:val="27"/>
          <w:szCs w:val="27"/>
          <w:lang w:eastAsia="tr-TR"/>
        </w:rPr>
        <w:t>AVRUPA PARLAMENTOSU VE KONSEYİNİN (AB) 2020/852 SAYILI TÜZÜĞÜ</w:t>
      </w:r>
    </w:p>
    <w:bookmarkEnd w:id="0"/>
    <w:p w:rsidR="001C701D" w:rsidRPr="001C701D" w:rsidRDefault="001C701D" w:rsidP="001C701D">
      <w:pPr>
        <w:shd w:val="clear" w:color="auto" w:fill="FFFFFF"/>
        <w:spacing w:before="24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18 Haziran 2020</w:t>
      </w:r>
    </w:p>
    <w:p w:rsidR="001C701D" w:rsidRPr="001C701D" w:rsidRDefault="001C701D" w:rsidP="001C701D">
      <w:pPr>
        <w:shd w:val="clear" w:color="auto" w:fill="FFFFFF"/>
        <w:spacing w:before="24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Sürdürülebilir yatırımı kolaylaştıracak bir çerçeve oluşturulması ve (AB) 2019/2088 sayılı Tüzüğün değiştirilmesi hakkında</w:t>
      </w:r>
    </w:p>
    <w:p w:rsidR="001C701D" w:rsidRPr="001C701D" w:rsidRDefault="001C701D" w:rsidP="001C701D">
      <w:pPr>
        <w:shd w:val="clear" w:color="auto" w:fill="FFFFFF"/>
        <w:spacing w:before="24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(AEA ile ilgili metin)</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AVRUPA PARLAMENTOSU VE AVRUPA BİRLİĞİ KONSEYİ,</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Avrupa Birliği'nin İşleyişine İlişkin Antlaşma ve özellikle 114. Maddesi dikkate alınarak,</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Avrupa Komisyonu'nun önerisi dikkate alınarak,</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Taslak yasa tasarısının ulusal parlamentolara iletilmesinin ardından,</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Avrupa Ekonomik ve Sosyal Komitesi'nin  </w:t>
      </w:r>
      <w:hyperlink r:id="rId4" w:anchor="ntr1-L_2020198EN.01001301-E0001" w:history="1">
        <w:r w:rsidRPr="001C701D">
          <w:rPr>
            <w:rFonts w:ascii="Times New Roman" w:eastAsia="Times New Roman" w:hAnsi="Times New Roman" w:cs="Times New Roman"/>
            <w:color w:val="0E47CB"/>
            <w:sz w:val="27"/>
            <w:szCs w:val="27"/>
            <w:lang w:eastAsia="tr-TR"/>
          </w:rPr>
          <w:t>( </w:t>
        </w:r>
        <w:r w:rsidRPr="001C701D">
          <w:rPr>
            <w:rFonts w:ascii="Times New Roman" w:eastAsia="Times New Roman" w:hAnsi="Times New Roman" w:cs="Times New Roman"/>
            <w:color w:val="0E47CB"/>
            <w:sz w:val="19"/>
            <w:szCs w:val="19"/>
            <w:vertAlign w:val="superscript"/>
            <w:lang w:eastAsia="tr-TR"/>
          </w:rPr>
          <w:t>1</w:t>
        </w:r>
        <w:r w:rsidRPr="001C701D">
          <w:rPr>
            <w:rFonts w:ascii="Times New Roman" w:eastAsia="Times New Roman" w:hAnsi="Times New Roman" w:cs="Times New Roman"/>
            <w:color w:val="0E47CB"/>
            <w:sz w:val="27"/>
            <w:szCs w:val="27"/>
            <w:lang w:eastAsia="tr-TR"/>
          </w:rPr>
          <w:t> )</w:t>
        </w:r>
      </w:hyperlink>
      <w:r w:rsidRPr="001C701D">
        <w:rPr>
          <w:rFonts w:ascii="Times New Roman" w:eastAsia="Times New Roman" w:hAnsi="Times New Roman" w:cs="Times New Roman"/>
          <w:color w:val="333333"/>
          <w:sz w:val="27"/>
          <w:szCs w:val="27"/>
          <w:lang w:eastAsia="tr-TR"/>
        </w:rPr>
        <w:t xml:space="preserve"> görüşünü dikkate </w:t>
      </w:r>
      <w:proofErr w:type="gramStart"/>
      <w:r w:rsidRPr="001C701D">
        <w:rPr>
          <w:rFonts w:ascii="Times New Roman" w:eastAsia="Times New Roman" w:hAnsi="Times New Roman" w:cs="Times New Roman"/>
          <w:color w:val="333333"/>
          <w:sz w:val="27"/>
          <w:szCs w:val="27"/>
          <w:lang w:eastAsia="tr-TR"/>
        </w:rPr>
        <w:t>alarak ,</w:t>
      </w:r>
      <w:proofErr w:type="gramEnd"/>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Olağan yasama usulüne uygun olarak hareket ederek  </w:t>
      </w:r>
      <w:hyperlink r:id="rId5" w:anchor="ntr2-L_2020198EN.01001301-E0002" w:history="1">
        <w:r w:rsidRPr="001C701D">
          <w:rPr>
            <w:rFonts w:ascii="Times New Roman" w:eastAsia="Times New Roman" w:hAnsi="Times New Roman" w:cs="Times New Roman"/>
            <w:color w:val="0E47CB"/>
            <w:sz w:val="27"/>
            <w:szCs w:val="27"/>
            <w:lang w:eastAsia="tr-TR"/>
          </w:rPr>
          <w:t>( </w:t>
        </w:r>
        <w:r w:rsidRPr="001C701D">
          <w:rPr>
            <w:rFonts w:ascii="Times New Roman" w:eastAsia="Times New Roman" w:hAnsi="Times New Roman" w:cs="Times New Roman"/>
            <w:color w:val="0E47CB"/>
            <w:sz w:val="19"/>
            <w:szCs w:val="19"/>
            <w:vertAlign w:val="superscript"/>
            <w:lang w:eastAsia="tr-TR"/>
          </w:rPr>
          <w:t>2</w:t>
        </w:r>
        <w:r w:rsidRPr="001C701D">
          <w:rPr>
            <w:rFonts w:ascii="Times New Roman" w:eastAsia="Times New Roman" w:hAnsi="Times New Roman" w:cs="Times New Roman"/>
            <w:color w:val="0E47CB"/>
            <w:sz w:val="27"/>
            <w:szCs w:val="27"/>
            <w:lang w:eastAsia="tr-TR"/>
          </w:rPr>
          <w:t> )</w:t>
        </w:r>
      </w:hyperlink>
      <w:r w:rsidRPr="001C701D">
        <w:rPr>
          <w:rFonts w:ascii="Times New Roman" w:eastAsia="Times New Roman" w:hAnsi="Times New Roman" w:cs="Times New Roman"/>
          <w:color w:val="333333"/>
          <w:sz w:val="27"/>
          <w:szCs w:val="27"/>
          <w:lang w:eastAsia="tr-TR"/>
        </w:rPr>
        <w:t> ,</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proofErr w:type="gramStart"/>
      <w:r w:rsidRPr="001C701D">
        <w:rPr>
          <w:rFonts w:ascii="Times New Roman" w:eastAsia="Times New Roman" w:hAnsi="Times New Roman" w:cs="Times New Roman"/>
          <w:color w:val="333333"/>
          <w:sz w:val="27"/>
          <w:szCs w:val="27"/>
          <w:lang w:eastAsia="tr-TR"/>
        </w:rPr>
        <w:t>Halbuki</w:t>
      </w:r>
      <w:proofErr w:type="gramEnd"/>
      <w:r w:rsidRPr="001C701D">
        <w:rPr>
          <w:rFonts w:ascii="Times New Roman" w:eastAsia="Times New Roman" w:hAnsi="Times New Roman" w:cs="Times New Roman"/>
          <w:color w:val="333333"/>
          <w:sz w:val="27"/>
          <w:szCs w:val="27"/>
          <w:lang w:eastAsia="tr-TR"/>
        </w:rPr>
        <w:t>:</w:t>
      </w: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Avrupa Birliği Antlaşması'nın 3(3) maddesi, diğer hususların yanı sıra dengeli ekonomik büyümeye, yüksek düzeyde korumaya ve çevre kalitesinin iyileştirilmesine dayalı olarak Avrupa'nın sürdürülebilir kalkınması için çalışan bir iç pazarın kurulmasını amaçlamaktadır.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25 Eylül 2015'te BM Genel Kurulu yeni bir küresel sürdürülebilir kalkınma çerçevesi kabul etti: Sürdürülebilir Kalkınma için 2030 Gündemi ("2030 Gündemi"). 2030 Gündemi, özünde Sürdürülebilir Kalkınma </w:t>
            </w:r>
            <w:proofErr w:type="spellStart"/>
            <w:r w:rsidRPr="001C701D">
              <w:rPr>
                <w:rFonts w:ascii="Times New Roman" w:eastAsia="Times New Roman" w:hAnsi="Times New Roman" w:cs="Times New Roman"/>
                <w:sz w:val="24"/>
                <w:szCs w:val="24"/>
                <w:lang w:eastAsia="tr-TR"/>
              </w:rPr>
              <w:t>Hedefleri'ni</w:t>
            </w:r>
            <w:proofErr w:type="spellEnd"/>
            <w:r w:rsidRPr="001C701D">
              <w:rPr>
                <w:rFonts w:ascii="Times New Roman" w:eastAsia="Times New Roman" w:hAnsi="Times New Roman" w:cs="Times New Roman"/>
                <w:sz w:val="24"/>
                <w:szCs w:val="24"/>
                <w:lang w:eastAsia="tr-TR"/>
              </w:rPr>
              <w:t xml:space="preserve"> (</w:t>
            </w:r>
            <w:proofErr w:type="spellStart"/>
            <w:r w:rsidRPr="001C701D">
              <w:rPr>
                <w:rFonts w:ascii="Times New Roman" w:eastAsia="Times New Roman" w:hAnsi="Times New Roman" w:cs="Times New Roman"/>
                <w:sz w:val="24"/>
                <w:szCs w:val="24"/>
                <w:lang w:eastAsia="tr-TR"/>
              </w:rPr>
              <w:t>SKH'ler</w:t>
            </w:r>
            <w:proofErr w:type="spellEnd"/>
            <w:r w:rsidRPr="001C701D">
              <w:rPr>
                <w:rFonts w:ascii="Times New Roman" w:eastAsia="Times New Roman" w:hAnsi="Times New Roman" w:cs="Times New Roman"/>
                <w:sz w:val="24"/>
                <w:szCs w:val="24"/>
                <w:lang w:eastAsia="tr-TR"/>
              </w:rPr>
              <w:t xml:space="preserve">) barındırır ve sürdürülebilirliğin ekonomik, sosyal ve çevresel olmak üzere üç boyutunu kapsar. Komisyonun sürdürülebilir bir Avrupa geleceği için sonraki adımlar hakkındaki 22 Kasım 2016 tarihli bildirisi, </w:t>
            </w:r>
            <w:proofErr w:type="spellStart"/>
            <w:r w:rsidRPr="001C701D">
              <w:rPr>
                <w:rFonts w:ascii="Times New Roman" w:eastAsia="Times New Roman" w:hAnsi="Times New Roman" w:cs="Times New Roman"/>
                <w:sz w:val="24"/>
                <w:szCs w:val="24"/>
                <w:lang w:eastAsia="tr-TR"/>
              </w:rPr>
              <w:t>SKH'leri</w:t>
            </w:r>
            <w:proofErr w:type="spellEnd"/>
            <w:r w:rsidRPr="001C701D">
              <w:rPr>
                <w:rFonts w:ascii="Times New Roman" w:eastAsia="Times New Roman" w:hAnsi="Times New Roman" w:cs="Times New Roman"/>
                <w:sz w:val="24"/>
                <w:szCs w:val="24"/>
                <w:lang w:eastAsia="tr-TR"/>
              </w:rPr>
              <w:t xml:space="preserve"> Birlik politika çerçevesine bağlayarak, Birlik içinde ve küresel ölçekte tüm Birlik eylemlerinin ve politika girişimlerinin </w:t>
            </w:r>
            <w:proofErr w:type="spellStart"/>
            <w:r w:rsidRPr="001C701D">
              <w:rPr>
                <w:rFonts w:ascii="Times New Roman" w:eastAsia="Times New Roman" w:hAnsi="Times New Roman" w:cs="Times New Roman"/>
                <w:sz w:val="24"/>
                <w:szCs w:val="24"/>
                <w:lang w:eastAsia="tr-TR"/>
              </w:rPr>
              <w:t>SKH'leri</w:t>
            </w:r>
            <w:proofErr w:type="spellEnd"/>
            <w:r w:rsidRPr="001C701D">
              <w:rPr>
                <w:rFonts w:ascii="Times New Roman" w:eastAsia="Times New Roman" w:hAnsi="Times New Roman" w:cs="Times New Roman"/>
                <w:sz w:val="24"/>
                <w:szCs w:val="24"/>
                <w:lang w:eastAsia="tr-TR"/>
              </w:rPr>
              <w:t xml:space="preserve"> başlangıçta dikkate almasını sağlar. Konsey, 20 Haziran 2017 tarihli sonuçlarında, Birlik ve Üye Devletlerinin 2030 </w:t>
            </w:r>
            <w:proofErr w:type="spellStart"/>
            <w:r w:rsidRPr="001C701D">
              <w:rPr>
                <w:rFonts w:ascii="Times New Roman" w:eastAsia="Times New Roman" w:hAnsi="Times New Roman" w:cs="Times New Roman"/>
                <w:sz w:val="24"/>
                <w:szCs w:val="24"/>
                <w:lang w:eastAsia="tr-TR"/>
              </w:rPr>
              <w:t>Gündemi'ni</w:t>
            </w:r>
            <w:proofErr w:type="spellEnd"/>
            <w:r w:rsidRPr="001C701D">
              <w:rPr>
                <w:rFonts w:ascii="Times New Roman" w:eastAsia="Times New Roman" w:hAnsi="Times New Roman" w:cs="Times New Roman"/>
                <w:sz w:val="24"/>
                <w:szCs w:val="24"/>
                <w:lang w:eastAsia="tr-TR"/>
              </w:rPr>
              <w:t xml:space="preserve"> ortaklar ve diğer paydaşlarla yakın iş birliği içinde eksiksiz, tutarlı, kapsamlı, </w:t>
            </w:r>
            <w:proofErr w:type="gramStart"/>
            <w:r w:rsidRPr="001C701D">
              <w:rPr>
                <w:rFonts w:ascii="Times New Roman" w:eastAsia="Times New Roman" w:hAnsi="Times New Roman" w:cs="Times New Roman"/>
                <w:sz w:val="24"/>
                <w:szCs w:val="24"/>
                <w:lang w:eastAsia="tr-TR"/>
              </w:rPr>
              <w:t>entegre</w:t>
            </w:r>
            <w:proofErr w:type="gramEnd"/>
            <w:r w:rsidRPr="001C701D">
              <w:rPr>
                <w:rFonts w:ascii="Times New Roman" w:eastAsia="Times New Roman" w:hAnsi="Times New Roman" w:cs="Times New Roman"/>
                <w:sz w:val="24"/>
                <w:szCs w:val="24"/>
                <w:lang w:eastAsia="tr-TR"/>
              </w:rPr>
              <w:t xml:space="preserve"> ve etkili bir şekilde uygulama taahhüdünü teyit etti. Komisyon, 11 Aralık 2019'da "Avrupa Yeşil Mutabakatı" hakkındaki bildirisini yayınladı.</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Birleşmiş Milletler İklim Değişikliği Çerçeve Sözleşmesi kapsamında kabul edilen Paris Anlaşması ('Paris Anlaşması'), Birlik tarafından 5 Ekim 2016 tarihinde onaylanmıştır  </w:t>
            </w:r>
            <w:hyperlink r:id="rId6" w:anchor="ntr3-L_2020198EN.01001301-E0003"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3</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xml:space="preserve"> . Paris Anlaşması'nın 2(1)(c) maddesi, diğer araçların yanı sıra, düşük sera gazı </w:t>
            </w:r>
            <w:proofErr w:type="gramStart"/>
            <w:r w:rsidRPr="001C701D">
              <w:rPr>
                <w:rFonts w:ascii="Times New Roman" w:eastAsia="Times New Roman" w:hAnsi="Times New Roman" w:cs="Times New Roman"/>
                <w:sz w:val="24"/>
                <w:szCs w:val="24"/>
                <w:lang w:eastAsia="tr-TR"/>
              </w:rPr>
              <w:t>emisyonları</w:t>
            </w:r>
            <w:proofErr w:type="gramEnd"/>
            <w:r w:rsidRPr="001C701D">
              <w:rPr>
                <w:rFonts w:ascii="Times New Roman" w:eastAsia="Times New Roman" w:hAnsi="Times New Roman" w:cs="Times New Roman"/>
                <w:sz w:val="24"/>
                <w:szCs w:val="24"/>
                <w:lang w:eastAsia="tr-TR"/>
              </w:rPr>
              <w:t xml:space="preserve"> ve iklime dayanıklı kalkınmaya yönelik bir yol haritasıyla uyumlu finansman akışları sağlayarak iklim değişikliğine verilen yanıtı güçlendirmeyi amaçlamaktadır. Bu bağlamda, Avrupa Konseyi 12 Aralık 2019 tarihinde iklim değişikliği konusunda sonuçlar kabul </w:t>
            </w:r>
            <w:r w:rsidRPr="001C701D">
              <w:rPr>
                <w:rFonts w:ascii="Times New Roman" w:eastAsia="Times New Roman" w:hAnsi="Times New Roman" w:cs="Times New Roman"/>
                <w:sz w:val="24"/>
                <w:szCs w:val="24"/>
                <w:lang w:eastAsia="tr-TR"/>
              </w:rPr>
              <w:lastRenderedPageBreak/>
              <w:t xml:space="preserve">etmiştir. Bu bağlamda, bu Tüzük, 2050 yılına kadar iklim açısından </w:t>
            </w:r>
            <w:proofErr w:type="gramStart"/>
            <w:r w:rsidRPr="001C701D">
              <w:rPr>
                <w:rFonts w:ascii="Times New Roman" w:eastAsia="Times New Roman" w:hAnsi="Times New Roman" w:cs="Times New Roman"/>
                <w:sz w:val="24"/>
                <w:szCs w:val="24"/>
                <w:lang w:eastAsia="tr-TR"/>
              </w:rPr>
              <w:t>nötr</w:t>
            </w:r>
            <w:proofErr w:type="gramEnd"/>
            <w:r w:rsidRPr="001C701D">
              <w:rPr>
                <w:rFonts w:ascii="Times New Roman" w:eastAsia="Times New Roman" w:hAnsi="Times New Roman" w:cs="Times New Roman"/>
                <w:sz w:val="24"/>
                <w:szCs w:val="24"/>
                <w:lang w:eastAsia="tr-TR"/>
              </w:rPr>
              <w:t xml:space="preserve"> bir Birlik hedefine ulaşma yolunda önemli bir adım teşkil etmektedir.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(4)</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Sürdürülebilirlik ve güvenli, iklim açısından </w:t>
            </w:r>
            <w:proofErr w:type="gramStart"/>
            <w:r w:rsidRPr="001C701D">
              <w:rPr>
                <w:rFonts w:ascii="Times New Roman" w:eastAsia="Times New Roman" w:hAnsi="Times New Roman" w:cs="Times New Roman"/>
                <w:sz w:val="24"/>
                <w:szCs w:val="24"/>
                <w:lang w:eastAsia="tr-TR"/>
              </w:rPr>
              <w:t>nötr</w:t>
            </w:r>
            <w:proofErr w:type="gramEnd"/>
            <w:r w:rsidRPr="001C701D">
              <w:rPr>
                <w:rFonts w:ascii="Times New Roman" w:eastAsia="Times New Roman" w:hAnsi="Times New Roman" w:cs="Times New Roman"/>
                <w:sz w:val="24"/>
                <w:szCs w:val="24"/>
                <w:lang w:eastAsia="tr-TR"/>
              </w:rPr>
              <w:t>, iklime dirençli, kaynak açısından daha verimli ve döngüsel bir ekonomiye geçiş, Birlik ekonomisinin uzun vadeli rekabet gücünü sağlamak için hayati önem taşımaktadır. Sürdürülebilirlik, uzun zamandır Birlik projesinin merkezinde yer almaktadır ve Avrupa Birliği Antlaşması ile Avrupa Birliği'nin İşleyişine İlişkin Antlaşma (TFEU), sürdürülebilirliğin sosyal ve çevresel boyutlarını yansıtmaktadır.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(5)</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Aralık 2016'da Komisyon, sürdürülebilir finansman konusunda kapsamlı ve kapsayıcı bir Birlik stratejisi geliştirmek üzere Üst Düzey Uzman Grubu'nu görevlendirdi. 31 Ocak 2018'de yayınlanan Üst Düzey Uzman Grubu raporu, iklim değişikliğinin azaltılmasıyla başlayarak hangi faaliyetlerin "yeşil" veya "sürdürülebilir" olarak nitelendirileceği konusunda netlik sağlamak için Birlik düzeyinde teknik açıdan sağlam bir sınıflandırma sisteminin oluşturulmasını talep ediyor.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(6)</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Komisyon, 8 Mart 2018 tarihli duyurusunda, sürdürülebilir büyümenin finansmanı eylem planını yayınlayarak, sürdürülebilir finansman konusunda iddialı ve kapsamlı bir strateji başlattı. Bu eylem planında belirlenen hedeflerden biri, sürdürülebilir ve kapsayıcı bir büyüme sağlamak amacıyla sermaye akışlarını sürdürülebilir yatırımlara yönlendirmektir. Sürdürülebilir faaliyetler için birleşik bir sınıflandırma sisteminin kurulması, eylem planında öngörülen en önemli ve acil eylemdir. Eylem planı, sermaye akışlarının daha sürdürülebilir faaliyetlere kaydırılmasının, faaliyetlerin ve yatırımların çevresel sürdürülebilirliğine ilişkin ortak ve bütüncül bir anlayışla desteklenmesi gerektiğini kabul etmektedir. İlk adım olarak, çevresel hedeflere katkıda bulunabilecek nitelikteki faaliyetler hakkında net bir kılavuz, yatırımcıların çevresel açıdan sürdürülebilir ekonomik faaliyetleri finanse eden yatırımlar hakkında bilgilendirilmesine yardımcı olacaktır. Sosyal hedefler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diğer sürdürülebilirlik hedeflerine katkıda bulunan faaliyetler hakkında daha fazla kılavuz, daha sonraki bir aşamada geliştirilebilir.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(7)</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Küresel çevresel zorlukların sistemik yapısı göz önüne alındığında, iklim değişikliği, biyolojik çeşitliliğin kaybı, kaynakların küresel aşırı tüketimi, gıda kıtlığı, ozon tabakasının incelmesi, okyanus asitlenmesi, tatlı su sisteminin bozulması ve kara sistemi değişikliği gibi artan olumsuz eğilimlerin yanı sıra tehlikeli kimyasallar ve bunların birleşik etkileri gibi yeni tehditlerin ortaya çıkması gibi çevresel sürdürülebilirliğe yönelik sistemik ve ileriye dönük bir yaklaşıma ihtiyaç vardır.</w:t>
            </w:r>
            <w:proofErr w:type="gramEnd"/>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(8)</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Avrupa Parlamentosu ve Konseyinin 1386/2013/EU sayılı Kararı  </w:t>
            </w:r>
            <w:hyperlink r:id="rId7" w:anchor="ntr4-L_2020198EN.01001301-E0004"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4</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xml:space="preserve"> özellikle şirketleri, işletmelerinin çevresel maliyetlerini ve çevre hizmetlerinden elde ettikleri karları ölçmeye teşvik eden teşvikler ve </w:t>
            </w:r>
            <w:proofErr w:type="gramStart"/>
            <w:r w:rsidRPr="001C701D">
              <w:rPr>
                <w:rFonts w:ascii="Times New Roman" w:eastAsia="Times New Roman" w:hAnsi="Times New Roman" w:cs="Times New Roman"/>
                <w:sz w:val="24"/>
                <w:szCs w:val="24"/>
                <w:lang w:eastAsia="tr-TR"/>
              </w:rPr>
              <w:t>metodolojiler</w:t>
            </w:r>
            <w:proofErr w:type="gramEnd"/>
            <w:r w:rsidRPr="001C701D">
              <w:rPr>
                <w:rFonts w:ascii="Times New Roman" w:eastAsia="Times New Roman" w:hAnsi="Times New Roman" w:cs="Times New Roman"/>
                <w:sz w:val="24"/>
                <w:szCs w:val="24"/>
                <w:lang w:eastAsia="tr-TR"/>
              </w:rPr>
              <w:t xml:space="preserve"> uygulayarak, çevre ve iklimle ilgili harcamalar için özel sektör finansmanının artırılmasını talep etmektedir.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(9)</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spellStart"/>
            <w:r w:rsidRPr="001C701D">
              <w:rPr>
                <w:rFonts w:ascii="Times New Roman" w:eastAsia="Times New Roman" w:hAnsi="Times New Roman" w:cs="Times New Roman"/>
                <w:sz w:val="24"/>
                <w:szCs w:val="24"/>
                <w:lang w:eastAsia="tr-TR"/>
              </w:rPr>
              <w:t>Birlik'te</w:t>
            </w:r>
            <w:proofErr w:type="spellEnd"/>
            <w:r w:rsidRPr="001C701D">
              <w:rPr>
                <w:rFonts w:ascii="Times New Roman" w:eastAsia="Times New Roman" w:hAnsi="Times New Roman" w:cs="Times New Roman"/>
                <w:sz w:val="24"/>
                <w:szCs w:val="24"/>
                <w:lang w:eastAsia="tr-TR"/>
              </w:rPr>
              <w:t xml:space="preserve"> Sürdürülebilir Kalkınma </w:t>
            </w:r>
            <w:proofErr w:type="spellStart"/>
            <w:r w:rsidRPr="001C701D">
              <w:rPr>
                <w:rFonts w:ascii="Times New Roman" w:eastAsia="Times New Roman" w:hAnsi="Times New Roman" w:cs="Times New Roman"/>
                <w:sz w:val="24"/>
                <w:szCs w:val="24"/>
                <w:lang w:eastAsia="tr-TR"/>
              </w:rPr>
              <w:t>Hedefleri'ne</w:t>
            </w:r>
            <w:proofErr w:type="spellEnd"/>
            <w:r w:rsidRPr="001C701D">
              <w:rPr>
                <w:rFonts w:ascii="Times New Roman" w:eastAsia="Times New Roman" w:hAnsi="Times New Roman" w:cs="Times New Roman"/>
                <w:sz w:val="24"/>
                <w:szCs w:val="24"/>
                <w:lang w:eastAsia="tr-TR"/>
              </w:rPr>
              <w:t xml:space="preserve"> ulaşmak, sermaye akışlarının sürdürülebilir yatırımlara yönlendirilmesini gerektirir. Bu hedeflere ulaşmak için iç pazarın potansiyelinden tam olarak yararlanmak önemlidir. Bu bağlamda, iç pazarda sermayenin sürdürülebilir yatırımlara etkin bir şekilde aktarılmasının önündeki engelleri kaldırmak ve yeni engellerin ortaya çıkmasını önlemek hayati önem taşımaktadır.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(10)</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Karşılaşılan zorluğun boyutu ve eylemsizlik veya gecikmeli eylemin getirdiği maliyetler göz önüne alındığında, ekonominin sürdürülebilir işleyişini desteklemek için finansal sistemin kademeli olarak uyarlanması gerekmektedir. Bu amaçla, sürdürülebilir finansın yaygınlaşması ve finansal ürün ve hizmetlerin sürdürülebilirlik etkisinin dikkate alınması gerekmektedir.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(11)</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Çevresel olarak sürdürülebilir hedefleri hedefleyen finansal ürünlerin kullanıma sunulması, özel yatırımları sürdürülebilir faaliyetlere yönlendirmenin etkili bir yoludur. Finansal ürünlerin veya şirket tahvillerinin çevresel olarak sürdürülebilir yatırımlar olarak pazarlanmasına ilişkin gereklilikler, Üye Devletler ve Birlik tarafından finansal piyasa katılımcılarının ve ihraççıların ulusal etiketleri kullanmalarına izin veren gereklilikler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yatırımcı güvenini ve bu finansal ürünlerin veya şirket tahvillerinin çevresel etkisine ilişkin farkındalığı artırmayı, görünürlük yaratmayı ve "yeşil aklama" konusundaki endişeleri gidermeyi amaçlamaktadır. Bu Yönetmelik bağlamında, yeşil aklama, temel çevre standartları karşılanmamışken bir finansal ürünü çevre dostu olarak pazarlayarak haksız rekabet avantajı elde etme uygulamasını ifade eder. Şu anda birkaç Üye Devlette etiketleme düzenlemeleri mevcuttur. Bu mevcut düzenlemeler, çevresel olarak sürdürülebilir ekonomik faaliyetler için farklı sınıflandırma sistemlerine dayanmaktadır. Paris Anlaşması kapsamındaki ve Birlik düzeyindeki siyasi taahhütler göz önüne alındığında, giderek daha fazla Üye Devletin finansal ürünleri veya şirket tahvillerini çevresel olarak sürdürülebilir olarak tanıtma konusunda etiketleme düzenlemeleri oluşturması veya finansal piyasa katılımcılarına veya ihraççılara başka gereklilikler getirmesi muhtemeldir. Bu gibi durumlarda, Üye Devletler hangi yatırımların sürdürülebilir olarak nitelendirileceğini belirlemek amacıyla kendi ulusal sınıflandırma sistemlerini kullanacaktır. Bu ulusal etiketleme sistemleri veya gereklilikleri hangi ekonomik faaliyetlerin çevresel olarak sürdürülebilir olarak nitelendirileceğini belirlemek için farklı </w:t>
            </w:r>
            <w:proofErr w:type="gramStart"/>
            <w:r w:rsidRPr="001C701D">
              <w:rPr>
                <w:rFonts w:ascii="Times New Roman" w:eastAsia="Times New Roman" w:hAnsi="Times New Roman" w:cs="Times New Roman"/>
                <w:sz w:val="24"/>
                <w:szCs w:val="24"/>
                <w:lang w:eastAsia="tr-TR"/>
              </w:rPr>
              <w:t>kriterler</w:t>
            </w:r>
            <w:proofErr w:type="gramEnd"/>
            <w:r w:rsidRPr="001C701D">
              <w:rPr>
                <w:rFonts w:ascii="Times New Roman" w:eastAsia="Times New Roman" w:hAnsi="Times New Roman" w:cs="Times New Roman"/>
                <w:sz w:val="24"/>
                <w:szCs w:val="24"/>
                <w:lang w:eastAsia="tr-TR"/>
              </w:rPr>
              <w:t xml:space="preserve"> kullanıyorsa, yatırımcılar farklı yatırım fırsatlarını karşılaştırmanın zorluğu nedeniyle sınır ötesi yatırım yapmaktan vazgeçecektir. Ayrıca, Birlik genelinden yatırım çekmek isteyen ekonomik aktörlerin, faaliyetlerinin çevresel olarak sürdürülebilir olarak nitelendirilebilmesi için farklı Üye Devletlerde farklı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karşılamaları gerekecektir. Dolayısıyla, tek tip </w:t>
            </w:r>
            <w:proofErr w:type="gramStart"/>
            <w:r w:rsidRPr="001C701D">
              <w:rPr>
                <w:rFonts w:ascii="Times New Roman" w:eastAsia="Times New Roman" w:hAnsi="Times New Roman" w:cs="Times New Roman"/>
                <w:sz w:val="24"/>
                <w:szCs w:val="24"/>
                <w:lang w:eastAsia="tr-TR"/>
              </w:rPr>
              <w:t>kriterlerin</w:t>
            </w:r>
            <w:proofErr w:type="gramEnd"/>
            <w:r w:rsidRPr="001C701D">
              <w:rPr>
                <w:rFonts w:ascii="Times New Roman" w:eastAsia="Times New Roman" w:hAnsi="Times New Roman" w:cs="Times New Roman"/>
                <w:sz w:val="24"/>
                <w:szCs w:val="24"/>
                <w:lang w:eastAsia="tr-TR"/>
              </w:rPr>
              <w:t xml:space="preserve"> olmaması maliyetleri artıracak ve ekonomik aktörlerin sürdürülebilir yatırım amacıyla sınır ötesi sermaye piyasalarına erişimini önemli ölçüde engelleyecektir.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(12)</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Bir ekonomik faaliyetin çevresel olarak sürdürülebilir olup olmadığını belirleme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sürdürülebilirlik projeleri için fon toplama konusunda iç pazarın işleyişindeki engelleri kaldırmak ve gelecekte bu tür projelere yönelik engellerin ortaya çıkmasını önlemek amacıyla Birlik düzeyinde uyumlu hale getirilmelidir. Bu uyumlaştırma sayesinde, ekonomik aktörlerin çevresel olarak sürdürülebilir faaliyetleri için sınır ötesi fon toplamaları daha kolay olacaktır; çünkü ekonomik faaliyetleri, çevresel olarak sürdürülebilir yatırımlar için temel varlık olarak seçilmek üzere tek tip </w:t>
            </w:r>
            <w:proofErr w:type="gramStart"/>
            <w:r w:rsidRPr="001C701D">
              <w:rPr>
                <w:rFonts w:ascii="Times New Roman" w:eastAsia="Times New Roman" w:hAnsi="Times New Roman" w:cs="Times New Roman"/>
                <w:sz w:val="24"/>
                <w:szCs w:val="24"/>
                <w:lang w:eastAsia="tr-TR"/>
              </w:rPr>
              <w:t>kriterlerle</w:t>
            </w:r>
            <w:proofErr w:type="gramEnd"/>
            <w:r w:rsidRPr="001C701D">
              <w:rPr>
                <w:rFonts w:ascii="Times New Roman" w:eastAsia="Times New Roman" w:hAnsi="Times New Roman" w:cs="Times New Roman"/>
                <w:sz w:val="24"/>
                <w:szCs w:val="24"/>
                <w:lang w:eastAsia="tr-TR"/>
              </w:rPr>
              <w:t xml:space="preserve"> karşılaştırılabilecektir. Dolayısıyla, böyle bir uyumlaştırma, Birlik içinde sınır ötesi sürdürülebilir yatırımı kolaylaştıracaktır.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(13)</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Finansal piyasa katılımcıları, yatırımcılara yatırım yaptıkları faaliyetlerin çevresel hedeflere nasıl katkıda bulunduğu konusunda herhangi bir açıklama yapmazlarsa veya </w:t>
            </w:r>
            <w:r w:rsidRPr="001C701D">
              <w:rPr>
                <w:rFonts w:ascii="Times New Roman" w:eastAsia="Times New Roman" w:hAnsi="Times New Roman" w:cs="Times New Roman"/>
                <w:sz w:val="24"/>
                <w:szCs w:val="24"/>
                <w:lang w:eastAsia="tr-TR"/>
              </w:rPr>
              <w:lastRenderedPageBreak/>
              <w:t xml:space="preserve">finansal piyasa katılımcıları çevresel olarak sürdürülebilir bir ekonomik faaliyetin ne olduğunu açıklarken farklı kavramlar kullanırlarsa, yatırımcılar farklı finansal ürünleri kontrol edip karşılaştırmayı orantısız bir şekilde külfetli bulacaklardır. Bu tür uygulamaların yatırımcıları çevresel olarak sürdürülebilir finansal ürünlere yatırım yapmaktan caydırdığı tespit edilmiştir. Dahası, yatırımcı güveninin eksikliği sürdürülebilir yatırım piyasası üzerinde büyük bir olumsuz etkiye sahiptir. Ayrıca, ulusal sınırlar içinde bu konuyu ele almak için alınan ulusal kuralların ve piyasa tabanlı girişimlerin iç piyasanın parçalanmasına yol açtığı gösterilmiştir. Finansal piyasa katılımcıları, çevresel olarak sürdürülebilir olarak sunulan finansal ürünlerin bu Yönetmelik kapsamındaki çevresel olarak sürdürülebilir ekonomik faaliyetler için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karşılayan faaliyetlere nasıl ve ne ölçüde yatırım yaptığını açıklar ve finansal piyasa katılımcıları bu tür açıklamalar için Birlik genelinde ortak kriterler kullanırsa, bu durum yatırımcıların sınırlar arasında yatırım fırsatlarını karşılaştırmalarına yardımcı olacak ve yatırım yapılan şirketleri iş modellerini çevresel olarak daha sürdürülebilir hale getirmeye teşvik edecektir. Ayrıca yatırımcılar, Birlik genelinde çevresel açıdan sürdürülebilir finansal ürünlere daha yüksek bir güvenle yatırım yapacak ve böylece iç pazarın işleyişini iyileştireceklerdir.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(14)</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 xml:space="preserve">İç pazarın işleyişindeki mevcut engelleri ele almak ve gelecekte bu tür engellerin ortaya çıkmasını önlemek için, Üye Devletler ve Birlik, finansal piyasa katılımcıları veya ihraççıları ile ilgili olarak çevresel olarak sürdürülebilir olarak pazarlanan finansal ürünler veya şirket tahvillerinin etiketlenmesi amacıyla ulusal ve Birlik düzeyinde gereklilikler getirirken, çevresel olarak sürdürülebilir yatırım konusunda ortak bir kavram kullanmakla yükümlü olmalıdır. </w:t>
            </w:r>
            <w:proofErr w:type="gramEnd"/>
            <w:r w:rsidRPr="001C701D">
              <w:rPr>
                <w:rFonts w:ascii="Times New Roman" w:eastAsia="Times New Roman" w:hAnsi="Times New Roman" w:cs="Times New Roman"/>
                <w:sz w:val="24"/>
                <w:szCs w:val="24"/>
                <w:lang w:eastAsia="tr-TR"/>
              </w:rPr>
              <w:t xml:space="preserve">Çevresel olarak sürdürülebilir ekonomik faaliyetlere ilişkin farklı anlayışlar nedeniyle piyasa parçalanmasının ve tüketicilerin ve yatırımcıların çıkarlarının zarar görmesinin önlenmesi için, finansal piyasa katılımcılarının veya ihraççıların finansal ürünleri veya şirket tahvillerini çevresel olarak sürdürülebilir olarak pazarlamak için uymaları gereken ulusal gereklilikler, çevresel olarak sürdürülebilir ekonomik faaliyetler için tek tip </w:t>
            </w:r>
            <w:proofErr w:type="gramStart"/>
            <w:r w:rsidRPr="001C701D">
              <w:rPr>
                <w:rFonts w:ascii="Times New Roman" w:eastAsia="Times New Roman" w:hAnsi="Times New Roman" w:cs="Times New Roman"/>
                <w:sz w:val="24"/>
                <w:szCs w:val="24"/>
                <w:lang w:eastAsia="tr-TR"/>
              </w:rPr>
              <w:t>kriterler</w:t>
            </w:r>
            <w:proofErr w:type="gramEnd"/>
            <w:r w:rsidRPr="001C701D">
              <w:rPr>
                <w:rFonts w:ascii="Times New Roman" w:eastAsia="Times New Roman" w:hAnsi="Times New Roman" w:cs="Times New Roman"/>
                <w:sz w:val="24"/>
                <w:szCs w:val="24"/>
                <w:lang w:eastAsia="tr-TR"/>
              </w:rPr>
              <w:t xml:space="preserve"> üzerine inşa edilmelidir. Bu tür finansal piyasa katılımcıları ve ihraççılar, çevresel olarak sürdürülebilir finansal ürünler sunan finansal piyasa katılımcıları ve çevresel olarak sürdürülebilir şirket tahvilleri ihraç eden finansal olmayan şirketleri içerir.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(15)</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Çevresel açıdan sürdürülebilir ekonomik faaliyetler için </w:t>
            </w:r>
            <w:proofErr w:type="gramStart"/>
            <w:r w:rsidRPr="001C701D">
              <w:rPr>
                <w:rFonts w:ascii="Times New Roman" w:eastAsia="Times New Roman" w:hAnsi="Times New Roman" w:cs="Times New Roman"/>
                <w:sz w:val="24"/>
                <w:szCs w:val="24"/>
                <w:lang w:eastAsia="tr-TR"/>
              </w:rPr>
              <w:t>kriterlerin</w:t>
            </w:r>
            <w:proofErr w:type="gramEnd"/>
            <w:r w:rsidRPr="001C701D">
              <w:rPr>
                <w:rFonts w:ascii="Times New Roman" w:eastAsia="Times New Roman" w:hAnsi="Times New Roman" w:cs="Times New Roman"/>
                <w:sz w:val="24"/>
                <w:szCs w:val="24"/>
                <w:lang w:eastAsia="tr-TR"/>
              </w:rPr>
              <w:t xml:space="preserve"> belirlenmesi, bu Yönetmelik kapsamında olmayan ekonomik işletmecileri, yürüttükleri çevresel açıdan sürdürülebilir ekonomik faaliyetler hakkında gönüllülük esasına dayalı olarak web sitelerinde bilgi yayınlamaya ve açıklamaya teşvik edebilir. Bu bilgiler, finans piyasası katılımcılarının ve finans piyasalarındaki diğer ilgili aktörlerin hangi ekonomik işletmecilerin çevresel açıdan sürdürülebilir ekonomik faaliyetler yürüttüğünü kolayca belirlemelerine yardımcı olmakla kalmayacak, aynı zamanda bu ekonomik işletmecilerin çevresel açıdan sürdürülebilir faaliyetleri için finansman sağlamalarını da kolaylaştıracaktır.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(16)</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Çevresel açıdan sürdürülebilir ekonomik faaliyetlerin Birlik düzeyinde sınıflandırılması, Birlik genelinde çevresel açıdan sürdürülebilir finansal ürünler için standartlar ve Birlik genelinde bu standartlara uyumu resmen tanıyan etiketlerin oluşturulması da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sürdürülebilir finansmanı destekleyen gelecekteki Birlik politikalarının </w:t>
            </w:r>
            <w:r w:rsidRPr="001C701D">
              <w:rPr>
                <w:rFonts w:ascii="Times New Roman" w:eastAsia="Times New Roman" w:hAnsi="Times New Roman" w:cs="Times New Roman"/>
                <w:sz w:val="24"/>
                <w:szCs w:val="24"/>
                <w:lang w:eastAsia="tr-TR"/>
              </w:rPr>
              <w:lastRenderedPageBreak/>
              <w:t xml:space="preserve">geliştirilmesini sağlamalıdır. Ayrıca, diğer ekonomik ve düzenleyici önlemlerin de temelini oluşturabilir. Yatırımların çevresel açıdan sürdürülebilir ekonomik faaliyetler için tek tip </w:t>
            </w:r>
            <w:proofErr w:type="gramStart"/>
            <w:r w:rsidRPr="001C701D">
              <w:rPr>
                <w:rFonts w:ascii="Times New Roman" w:eastAsia="Times New Roman" w:hAnsi="Times New Roman" w:cs="Times New Roman"/>
                <w:sz w:val="24"/>
                <w:szCs w:val="24"/>
                <w:lang w:eastAsia="tr-TR"/>
              </w:rPr>
              <w:t>kriterlere</w:t>
            </w:r>
            <w:proofErr w:type="gramEnd"/>
            <w:r w:rsidRPr="001C701D">
              <w:rPr>
                <w:rFonts w:ascii="Times New Roman" w:eastAsia="Times New Roman" w:hAnsi="Times New Roman" w:cs="Times New Roman"/>
                <w:sz w:val="24"/>
                <w:szCs w:val="24"/>
                <w:lang w:eastAsia="tr-TR"/>
              </w:rPr>
              <w:t xml:space="preserve"> dayalı olarak çevresel sürdürülebilirlik derecesini belirlemeye yönelik tek tip yasal gereklilikler, yatırımların çevresel açıdan sürdürülebilir ekonomik faaliyetlere kaydırılmasını kolaylaştırmayı amaçlayan gelecekteki Birlik yasaları için bir referans olarak gereklidir.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(17)</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spellStart"/>
            <w:r w:rsidRPr="001C701D">
              <w:rPr>
                <w:rFonts w:ascii="Times New Roman" w:eastAsia="Times New Roman" w:hAnsi="Times New Roman" w:cs="Times New Roman"/>
                <w:sz w:val="24"/>
                <w:szCs w:val="24"/>
                <w:lang w:eastAsia="tr-TR"/>
              </w:rPr>
              <w:t>Birlik'te</w:t>
            </w:r>
            <w:proofErr w:type="spellEnd"/>
            <w:r w:rsidRPr="001C701D">
              <w:rPr>
                <w:rFonts w:ascii="Times New Roman" w:eastAsia="Times New Roman" w:hAnsi="Times New Roman" w:cs="Times New Roman"/>
                <w:sz w:val="24"/>
                <w:szCs w:val="24"/>
                <w:lang w:eastAsia="tr-TR"/>
              </w:rPr>
              <w:t xml:space="preserve"> Sürdürülebilir Kalkınma </w:t>
            </w:r>
            <w:proofErr w:type="spellStart"/>
            <w:r w:rsidRPr="001C701D">
              <w:rPr>
                <w:rFonts w:ascii="Times New Roman" w:eastAsia="Times New Roman" w:hAnsi="Times New Roman" w:cs="Times New Roman"/>
                <w:sz w:val="24"/>
                <w:szCs w:val="24"/>
                <w:lang w:eastAsia="tr-TR"/>
              </w:rPr>
              <w:t>Amaçları'na</w:t>
            </w:r>
            <w:proofErr w:type="spellEnd"/>
            <w:r w:rsidRPr="001C701D">
              <w:rPr>
                <w:rFonts w:ascii="Times New Roman" w:eastAsia="Times New Roman" w:hAnsi="Times New Roman" w:cs="Times New Roman"/>
                <w:sz w:val="24"/>
                <w:szCs w:val="24"/>
                <w:lang w:eastAsia="tr-TR"/>
              </w:rPr>
              <w:t xml:space="preserve"> (SKH) ulaşma bağlamında, Avrupa Stratejik Yatırım Fonu'nun oluşturulması gibi politika tercihleri, kamu harcamalarının yanı sıra özel yatırımların sürdürülebilir yatırımlara yönlendirilmesine katkıda bulunmada etkili olmuştur. Avrupa Parlamentosu ve Konseyi'nin (AB) 2015/1017 sayılı Tüzüğü  </w:t>
            </w:r>
            <w:hyperlink r:id="rId8" w:anchor="ntr5-L_2020198EN.01001301-E0005"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5</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xml:space="preserve"> , Avrupa Stratejik Yatırım Fonu kapsamındaki altyapı ve </w:t>
            </w:r>
            <w:proofErr w:type="spellStart"/>
            <w:r w:rsidRPr="001C701D">
              <w:rPr>
                <w:rFonts w:ascii="Times New Roman" w:eastAsia="Times New Roman" w:hAnsi="Times New Roman" w:cs="Times New Roman"/>
                <w:sz w:val="24"/>
                <w:szCs w:val="24"/>
                <w:lang w:eastAsia="tr-TR"/>
              </w:rPr>
              <w:t>inovasyon</w:t>
            </w:r>
            <w:proofErr w:type="spellEnd"/>
            <w:r w:rsidRPr="001C701D">
              <w:rPr>
                <w:rFonts w:ascii="Times New Roman" w:eastAsia="Times New Roman" w:hAnsi="Times New Roman" w:cs="Times New Roman"/>
                <w:sz w:val="24"/>
                <w:szCs w:val="24"/>
                <w:lang w:eastAsia="tr-TR"/>
              </w:rPr>
              <w:t xml:space="preserve"> projeleri için %40'lık bir iklim yatırım hedefi belirlemektedir. Ekonomik faaliyetlerin sürdürülebilir olup olmadığını belirlemek için kullanılan ortak kriterler, çevre üzerindeki etkileri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Birliğin iklimle ilgili veya diğer çevresel hedefleri hedefleyen yatırımları harekete geçirmek için gelecekteki benzer girişimlerinin temelini oluşturabilir.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(18)</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Yatırımcı çıkarlarına zarar vermemek için, finansal ürünler sunan fon yöneticileri ve kurumsal yatırımcılar, yatırımlarının çevresel sürdürülebilirliğini belirlemek için çevresel olarak sürdürülebilir ekonomik faaliyetlere ilişkin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nasıl ve ne ölçüde kullandıklarını açıklamalıdır. Açıklanan bilgiler, yatırımcıların finansal ürünün temelini oluşturan yatırımların çevresel olarak sürdürülebilir ekonomik faaliyetlere olan oranını, söz konusu finansal ürünün temelini oluşturan tüm yatırımların yüzdesi olarak anlamalarını sağlamalı ve böylece yatırımcıların yatırımlarının çevresel sürdürülebilirlik derecesini anlamalarını sağlamalıdır. </w:t>
            </w:r>
            <w:proofErr w:type="gramStart"/>
            <w:r w:rsidRPr="001C701D">
              <w:rPr>
                <w:rFonts w:ascii="Times New Roman" w:eastAsia="Times New Roman" w:hAnsi="Times New Roman" w:cs="Times New Roman"/>
                <w:sz w:val="24"/>
                <w:szCs w:val="24"/>
                <w:lang w:eastAsia="tr-TR"/>
              </w:rPr>
              <w:t xml:space="preserve">Finansal ürünün temelini oluşturan yatırımlar, çevresel bir hedefe katkıda bulunan ekonomik faaliyetlerde yer alıyorsa, açıklanacak bilgiler, finansal ürünün temelini oluşturan yatırımın katkıda bulunduğu çevresel hedef veya hedefleri, finansal ürünün temelini oluşturan yatırımların çevresel olarak sürdürülebilir ekonomik faaliyetleri nasıl ve ne ölçüde finanse ettiğini belirtmeli ve ilgili kolaylaştırıcı ve geçiş faaliyetlerinin oranlarına ilişkin ayrıntıları içermelidir. </w:t>
            </w:r>
            <w:proofErr w:type="gramEnd"/>
            <w:r w:rsidRPr="001C701D">
              <w:rPr>
                <w:rFonts w:ascii="Times New Roman" w:eastAsia="Times New Roman" w:hAnsi="Times New Roman" w:cs="Times New Roman"/>
                <w:sz w:val="24"/>
                <w:szCs w:val="24"/>
                <w:lang w:eastAsia="tr-TR"/>
              </w:rPr>
              <w:t xml:space="preserve">Komisyon, bu bağlamda açıklanması gereken bilgileri belirtmelidir. Bu bilgiler, ulusal yetkili makamların bu açıklama yükümlülüğüne uyumu kolayca doğrulamasını ve bu uyumu yürürlükteki ulusal mevzuata uygun olarak uygulamasını sağlamasını sağlamalıdır. Finansal piyasa katılımcıları, çevresel olarak sürdürülebilir yatırımlara ilişkin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dikkate almadıkları takdirde, bu amaçla bir açıklama sunmalıdırlar. Açıklama yükümlülüğünün ihlal edilmesini önlemek için, bu yükümlülüğün, geniş anlamda çevre korumayı amaçlayan finansal ürünler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finansal ürünlerin çevresel özellikleri teşvik edecek şekilde pazarlandığı durumlarda da uygulanması gerekir.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(19)</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Bu Yönetmelikte belirtilen açıklama yükümlülükleri, Avrupa Parlamentosu ve Konseyinin (AB) 2019/2088 sayılı Tüzüğünde  </w:t>
            </w:r>
            <w:hyperlink r:id="rId9" w:anchor="ntr6-L_2020198EN.01001301-E0006"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6</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xml:space="preserve"> belirtilen sürdürülebilirlikle ilgili açıklamalara ilişkin kuralları tamamlar. Şeffaflığı artırmak ve finansal piyasa katılımcılarının son yatırımcılara çevresel olarak sürdürülebilir ekonomik faaliyetleri finanse eden yatırımların oranı konusunda nesnel bir karşılaştırma noktası sağlamak amacıyla, bu Yönetmelik, (AB) 2019/2088 sayılı Tüzükte belirtilen sözleşme öncesi açıklamalar ve periyodik raporlardaki şeffaflık kurallarını tamamlar. (AB) 2019/2088 sayılı Tüzükteki 'sürdürülebilir yatırım' </w:t>
            </w:r>
            <w:r w:rsidRPr="001C701D">
              <w:rPr>
                <w:rFonts w:ascii="Times New Roman" w:eastAsia="Times New Roman" w:hAnsi="Times New Roman" w:cs="Times New Roman"/>
                <w:sz w:val="24"/>
                <w:szCs w:val="24"/>
                <w:lang w:eastAsia="tr-TR"/>
              </w:rPr>
              <w:lastRenderedPageBreak/>
              <w:t>tanımı, diğerlerinin yanı sıra, bu Tüzük anlamında 'çevresel olarak sürdürülebilir ekonomik faaliyetlere' yapılan yatırımları da içermesi gereken çevresel bir hedefe katkıda bulunan ekonomik faaliyetlere yapılan yatırımları içerir. Ayrıca, (AB) 2019/2088 sayılı Tüzük, bir yatırımı yalnızca söz konusu Tüzükte belirtildiği gibi herhangi bir çevresel veya sosyal hedefe önemli ölçüde zarar vermemesi durumunda sürdürülebilir bir yatırım olarak kabul eder.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(20)</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Finansal hizmetler sektöründe sürdürülebilirlikle ilgili açıklamaların güvenilirliğini, tutarlılığını ve </w:t>
            </w:r>
            <w:proofErr w:type="spellStart"/>
            <w:r w:rsidRPr="001C701D">
              <w:rPr>
                <w:rFonts w:ascii="Times New Roman" w:eastAsia="Times New Roman" w:hAnsi="Times New Roman" w:cs="Times New Roman"/>
                <w:sz w:val="24"/>
                <w:szCs w:val="24"/>
                <w:lang w:eastAsia="tr-TR"/>
              </w:rPr>
              <w:t>karşılaştırılabilirliğini</w:t>
            </w:r>
            <w:proofErr w:type="spellEnd"/>
            <w:r w:rsidRPr="001C701D">
              <w:rPr>
                <w:rFonts w:ascii="Times New Roman" w:eastAsia="Times New Roman" w:hAnsi="Times New Roman" w:cs="Times New Roman"/>
                <w:sz w:val="24"/>
                <w:szCs w:val="24"/>
                <w:lang w:eastAsia="tr-TR"/>
              </w:rPr>
              <w:t xml:space="preserve"> sağlamak için, bu Yönetmelik uyarınca yapılan açıklamalarda, Avrupa Parlamentosu'nun 29 Mayıs 2018 tarihli sürdürülebilir finans hakkındaki kararında önerildiği üzere, mümkün olduğu ölçüde mevcut sürdürülebilirlik göstergeleri kullanılmalıdır  </w:t>
            </w:r>
            <w:hyperlink r:id="rId10" w:anchor="ntr7-L_2020198EN.01001301-E0007"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7</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xml:space="preserve"> . Bu bağlamda, teknik tarama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mümkün olduğu ölçüde, (AB) 2019/2088 sayılı Yönetmelikte belirtilen sürdürülebilirlik göstergelerine dayanmalıdır.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(21)</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Yönetmelik uyarınca bilgi açıklaması zorunluluğu olmayan teşebbüsler tarafından yürütülen ekonomik faaliyetlere ilişkin olarak, finansal piyasa katılımcılarının bu Yönetmelik uyarınca belirlenen teknik tarama </w:t>
            </w:r>
            <w:proofErr w:type="gramStart"/>
            <w:r w:rsidRPr="001C701D">
              <w:rPr>
                <w:rFonts w:ascii="Times New Roman" w:eastAsia="Times New Roman" w:hAnsi="Times New Roman" w:cs="Times New Roman"/>
                <w:sz w:val="24"/>
                <w:szCs w:val="24"/>
                <w:lang w:eastAsia="tr-TR"/>
              </w:rPr>
              <w:t>kriterlerine</w:t>
            </w:r>
            <w:proofErr w:type="gramEnd"/>
            <w:r w:rsidRPr="001C701D">
              <w:rPr>
                <w:rFonts w:ascii="Times New Roman" w:eastAsia="Times New Roman" w:hAnsi="Times New Roman" w:cs="Times New Roman"/>
                <w:sz w:val="24"/>
                <w:szCs w:val="24"/>
                <w:lang w:eastAsia="tr-TR"/>
              </w:rPr>
              <w:t xml:space="preserve"> uyumu güvenilir bir şekilde belirlemek için ilgili bilgileri makul bir şekilde elde edemediği istisnai durumlar olabilir. Bu tür istisnai durumlarda ve yalnızca eksiksiz, güvenilir ve zamanında bilginin elde edilemediği ekonomik faaliyetler için, finansal piyasa katılımcılarının diğer kaynaklardan elde edilen bilgilere dayanarak tamamlayıcı değerlendirme ve tahminlerde bulunmalarına izin verilmelidir. Bu tür değerlendirme ve tahminler, istenen veri unsurlarının yalnızca sınırlı ve belirli kısımlarını telafi etmeli ve ihtiyatlı bir sonuç üretmelidir. Yatırımcılara yapılan açıklamanın açık ve yanıltıcı olmamasını sağlamak için, finansal piyasa katılımcıları, nihai yatırımcılara açıklama amacıyla bu tür tamamlayıcı değerlendirme ve tahminlerde bulunma zorunluluğunun nedenlerinin yanı sıra sonuçlarının dayanağını da açıkça açıklamalıdır.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(22)</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Komisyon, 20 Haziran 2019 tarihli "Finansal Olmayan Raporlamaya İlişkin Kılavuzlar: İklimle İlgili Bilgilerin Raporlanmasına İlişkin Ek" başlıklı bildirisinde, belirli büyük şirketlerin bu Yönetmelik ile oluşturulan çerçeveye dayalı olarak belirli iklimle ilgili temel performans göstergelerini (</w:t>
            </w:r>
            <w:proofErr w:type="spellStart"/>
            <w:r w:rsidRPr="001C701D">
              <w:rPr>
                <w:rFonts w:ascii="Times New Roman" w:eastAsia="Times New Roman" w:hAnsi="Times New Roman" w:cs="Times New Roman"/>
                <w:sz w:val="24"/>
                <w:szCs w:val="24"/>
                <w:lang w:eastAsia="tr-TR"/>
              </w:rPr>
              <w:t>KPI'lar</w:t>
            </w:r>
            <w:proofErr w:type="spellEnd"/>
            <w:r w:rsidRPr="001C701D">
              <w:rPr>
                <w:rFonts w:ascii="Times New Roman" w:eastAsia="Times New Roman" w:hAnsi="Times New Roman" w:cs="Times New Roman"/>
                <w:sz w:val="24"/>
                <w:szCs w:val="24"/>
                <w:lang w:eastAsia="tr-TR"/>
              </w:rPr>
              <w:t xml:space="preserve">) raporlamasını önermektedir. </w:t>
            </w:r>
            <w:proofErr w:type="gramStart"/>
            <w:r w:rsidRPr="001C701D">
              <w:rPr>
                <w:rFonts w:ascii="Times New Roman" w:eastAsia="Times New Roman" w:hAnsi="Times New Roman" w:cs="Times New Roman"/>
                <w:sz w:val="24"/>
                <w:szCs w:val="24"/>
                <w:lang w:eastAsia="tr-TR"/>
              </w:rPr>
              <w:t>Özellikle, bu tür büyük finansal olmayan şirketlerin cirosunun, sermaye harcamalarının (</w:t>
            </w:r>
            <w:proofErr w:type="spellStart"/>
            <w:r w:rsidRPr="001C701D">
              <w:rPr>
                <w:rFonts w:ascii="Times New Roman" w:eastAsia="Times New Roman" w:hAnsi="Times New Roman" w:cs="Times New Roman"/>
                <w:sz w:val="24"/>
                <w:szCs w:val="24"/>
                <w:lang w:eastAsia="tr-TR"/>
              </w:rPr>
              <w:t>CapEx</w:t>
            </w:r>
            <w:proofErr w:type="spellEnd"/>
            <w:r w:rsidRPr="001C701D">
              <w:rPr>
                <w:rFonts w:ascii="Times New Roman" w:eastAsia="Times New Roman" w:hAnsi="Times New Roman" w:cs="Times New Roman"/>
                <w:sz w:val="24"/>
                <w:szCs w:val="24"/>
                <w:lang w:eastAsia="tr-TR"/>
              </w:rPr>
              <w:t>) veya işletme giderlerinin (</w:t>
            </w:r>
            <w:proofErr w:type="spellStart"/>
            <w:r w:rsidRPr="001C701D">
              <w:rPr>
                <w:rFonts w:ascii="Times New Roman" w:eastAsia="Times New Roman" w:hAnsi="Times New Roman" w:cs="Times New Roman"/>
                <w:sz w:val="24"/>
                <w:szCs w:val="24"/>
                <w:lang w:eastAsia="tr-TR"/>
              </w:rPr>
              <w:t>OpEx</w:t>
            </w:r>
            <w:proofErr w:type="spellEnd"/>
            <w:r w:rsidRPr="001C701D">
              <w:rPr>
                <w:rFonts w:ascii="Times New Roman" w:eastAsia="Times New Roman" w:hAnsi="Times New Roman" w:cs="Times New Roman"/>
                <w:sz w:val="24"/>
                <w:szCs w:val="24"/>
                <w:lang w:eastAsia="tr-TR"/>
              </w:rPr>
              <w:t xml:space="preserve">) çevresel olarak sürdürülebilir ekonomik faaliyetlerle ilişkili olan kısmına ilişkin bilgiler ve büyük finansal şirketler için özel olarak hazırlanmış </w:t>
            </w:r>
            <w:proofErr w:type="spellStart"/>
            <w:r w:rsidRPr="001C701D">
              <w:rPr>
                <w:rFonts w:ascii="Times New Roman" w:eastAsia="Times New Roman" w:hAnsi="Times New Roman" w:cs="Times New Roman"/>
                <w:sz w:val="24"/>
                <w:szCs w:val="24"/>
                <w:lang w:eastAsia="tr-TR"/>
              </w:rPr>
              <w:t>KPI'lar</w:t>
            </w:r>
            <w:proofErr w:type="spellEnd"/>
            <w:r w:rsidRPr="001C701D">
              <w:rPr>
                <w:rFonts w:ascii="Times New Roman" w:eastAsia="Times New Roman" w:hAnsi="Times New Roman" w:cs="Times New Roman"/>
                <w:sz w:val="24"/>
                <w:szCs w:val="24"/>
                <w:lang w:eastAsia="tr-TR"/>
              </w:rPr>
              <w:t xml:space="preserve">, ürün ve hizmetleri bu Yönetmelikte belirtilen çevresel hedeflerden herhangi birine önemli ölçüde katkıda bulunan şirketlerle ilgilenen yatırımcılar için faydalıdır. </w:t>
            </w:r>
            <w:proofErr w:type="gramEnd"/>
            <w:r w:rsidRPr="001C701D">
              <w:rPr>
                <w:rFonts w:ascii="Times New Roman" w:eastAsia="Times New Roman" w:hAnsi="Times New Roman" w:cs="Times New Roman"/>
                <w:sz w:val="24"/>
                <w:szCs w:val="24"/>
                <w:lang w:eastAsia="tr-TR"/>
              </w:rPr>
              <w:t xml:space="preserve">Bu nedenle, bu tür büyük şirketler tarafından bu tür </w:t>
            </w:r>
            <w:proofErr w:type="spellStart"/>
            <w:r w:rsidRPr="001C701D">
              <w:rPr>
                <w:rFonts w:ascii="Times New Roman" w:eastAsia="Times New Roman" w:hAnsi="Times New Roman" w:cs="Times New Roman"/>
                <w:sz w:val="24"/>
                <w:szCs w:val="24"/>
                <w:lang w:eastAsia="tr-TR"/>
              </w:rPr>
              <w:t>KPI'ların</w:t>
            </w:r>
            <w:proofErr w:type="spellEnd"/>
            <w:r w:rsidRPr="001C701D">
              <w:rPr>
                <w:rFonts w:ascii="Times New Roman" w:eastAsia="Times New Roman" w:hAnsi="Times New Roman" w:cs="Times New Roman"/>
                <w:sz w:val="24"/>
                <w:szCs w:val="24"/>
                <w:lang w:eastAsia="tr-TR"/>
              </w:rPr>
              <w:t xml:space="preserve"> yıllık olarak yayınlanmasının zorunlu kılınması ve özellikle büyük finansal şirketler söz konusu olduğunda bu gerekliliğin devredilmiş düzenlemelerde daha ayrıntılı olarak tanımlanması uygundur. Böyle bir zorunluluğun daha küçük şirketlere genişletilmesi orantısız bir külfet getirse de, daha küçük şirketler bu bilgileri gönüllü olarak yayınlamaya karar verebilirler.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(23)</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Belirli bir ekonomik faaliyetin çevresel sürdürülebilirliğini belirlemek amacıyla, kapsamlı bir çevresel hedefler listesi oluşturulmalıdır. Bu Yönetmeliğin kapsaması gereken altı çevresel hedef şunlardır: iklim değişikliğinin azaltılması; iklim değişikliğine uyum; su ve </w:t>
            </w:r>
            <w:r w:rsidRPr="001C701D">
              <w:rPr>
                <w:rFonts w:ascii="Times New Roman" w:eastAsia="Times New Roman" w:hAnsi="Times New Roman" w:cs="Times New Roman"/>
                <w:sz w:val="24"/>
                <w:szCs w:val="24"/>
                <w:lang w:eastAsia="tr-TR"/>
              </w:rPr>
              <w:lastRenderedPageBreak/>
              <w:t>deniz kaynaklarının sürdürülebilir kullanımı ve korunması; döngüsel ekonomiye geçiş; kirliliğin önlenmesi ve kontrolü; biyolojik çeşitliliğin ve ekosistemlerin korunması ve onarılması.</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(24)</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İklim değişikliğinin azaltılması gibi çevresel bir hedefi gözeten bir ekonomik faaliyet, sera gazı </w:t>
            </w:r>
            <w:proofErr w:type="gramStart"/>
            <w:r w:rsidRPr="001C701D">
              <w:rPr>
                <w:rFonts w:ascii="Times New Roman" w:eastAsia="Times New Roman" w:hAnsi="Times New Roman" w:cs="Times New Roman"/>
                <w:sz w:val="24"/>
                <w:szCs w:val="24"/>
                <w:lang w:eastAsia="tr-TR"/>
              </w:rPr>
              <w:t>emisyonlarının</w:t>
            </w:r>
            <w:proofErr w:type="gramEnd"/>
            <w:r w:rsidRPr="001C701D">
              <w:rPr>
                <w:rFonts w:ascii="Times New Roman" w:eastAsia="Times New Roman" w:hAnsi="Times New Roman" w:cs="Times New Roman"/>
                <w:sz w:val="24"/>
                <w:szCs w:val="24"/>
                <w:lang w:eastAsia="tr-TR"/>
              </w:rPr>
              <w:t xml:space="preserve"> önlenmesi veya azaltılması ya da sera gazı </w:t>
            </w:r>
            <w:proofErr w:type="spellStart"/>
            <w:r w:rsidRPr="001C701D">
              <w:rPr>
                <w:rFonts w:ascii="Times New Roman" w:eastAsia="Times New Roman" w:hAnsi="Times New Roman" w:cs="Times New Roman"/>
                <w:sz w:val="24"/>
                <w:szCs w:val="24"/>
                <w:lang w:eastAsia="tr-TR"/>
              </w:rPr>
              <w:t>gideriminin</w:t>
            </w:r>
            <w:proofErr w:type="spellEnd"/>
            <w:r w:rsidRPr="001C701D">
              <w:rPr>
                <w:rFonts w:ascii="Times New Roman" w:eastAsia="Times New Roman" w:hAnsi="Times New Roman" w:cs="Times New Roman"/>
                <w:sz w:val="24"/>
                <w:szCs w:val="24"/>
                <w:lang w:eastAsia="tr-TR"/>
              </w:rPr>
              <w:t xml:space="preserve"> artırılması yoluyla sera gazı emisyonlarının dengelenmesine önemli ölçüde katkıda bulunmalıdır. Ekonomik faaliyet, Paris Anlaşması'nın uzun vadeli sıcaklık hedefi ile uyumlu olmalıdır. Bu çevresel hedef, Avrupa Parlamentosu ve Konsey Direktifi 2009/31/EC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ilgili Birlik hukukuna uygun olarak yorumlanmalıdır  </w:t>
            </w:r>
            <w:hyperlink r:id="rId11" w:anchor="ntr8-L_2020198EN.01001301-E0008"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8</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(25)</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İklim değişikliğine uyum sağlama çevresel hedefini izleyen bir ekonomik faaliyet, mevcut veya beklenen gelecekteki iklimin olumsuz etkilerinin veya bu olumsuz etkilerin risklerinin, söz konusu faaliyetin kendisi veya insanlar, doğa veya varlıklar üzerindeki olumsuz etkilerinin azaltılmasına veya önlenmesine önemli ölçüde katkıda bulunmalıdır. Bu çevresel hedef, ilgili Birlik hukuku ve 2015-2030 </w:t>
            </w:r>
            <w:proofErr w:type="spellStart"/>
            <w:r w:rsidRPr="001C701D">
              <w:rPr>
                <w:rFonts w:ascii="Times New Roman" w:eastAsia="Times New Roman" w:hAnsi="Times New Roman" w:cs="Times New Roman"/>
                <w:sz w:val="24"/>
                <w:szCs w:val="24"/>
                <w:lang w:eastAsia="tr-TR"/>
              </w:rPr>
              <w:t>Sendai</w:t>
            </w:r>
            <w:proofErr w:type="spellEnd"/>
            <w:r w:rsidRPr="001C701D">
              <w:rPr>
                <w:rFonts w:ascii="Times New Roman" w:eastAsia="Times New Roman" w:hAnsi="Times New Roman" w:cs="Times New Roman"/>
                <w:sz w:val="24"/>
                <w:szCs w:val="24"/>
                <w:lang w:eastAsia="tr-TR"/>
              </w:rPr>
              <w:t xml:space="preserve"> Afet Riskini Azaltma Çerçevesi uyarınca yorumlanmalıdır.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(26)</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Su ve deniz kaynaklarının sürdürülebilir kullanımı ve korunmasına ilişkin çevresel hedef, Avrupa Parlamentosu ve Konseyinin 1380/2013 sayılı Tüzüğü  </w:t>
            </w:r>
            <w:hyperlink r:id="rId12" w:anchor="ntr9-L_2020198EN.01001301-E0009"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9</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ve 2000/60/EC  (10), 2006/7/EC </w:t>
            </w:r>
            <w:hyperlink r:id="rId13" w:anchor="ntr10-L_2020198EN.01001301-E0010"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11</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2006/118/EC  </w:t>
            </w:r>
            <w:hyperlink r:id="rId14" w:anchor="ntr11-L_2020198EN.01001301-E0011"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12</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2008/56/EC  </w:t>
            </w:r>
            <w:hyperlink r:id="rId15" w:anchor="ntr12-L_2020198EN.01001301-E0012"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13</w:t>
              </w:r>
              <w:r w:rsidRPr="001C701D">
                <w:rPr>
                  <w:rFonts w:ascii="Times New Roman" w:eastAsia="Times New Roman" w:hAnsi="Times New Roman" w:cs="Times New Roman"/>
                  <w:color w:val="0E47CB"/>
                  <w:sz w:val="24"/>
                  <w:szCs w:val="24"/>
                  <w:lang w:eastAsia="tr-TR"/>
                </w:rPr>
                <w:t> ) ve 2008/105/EC </w:t>
              </w:r>
            </w:hyperlink>
            <w:hyperlink r:id="rId16" w:anchor="ntr13-L_2020198EN.01001301-E0013"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14</w:t>
              </w:r>
            </w:hyperlink>
            <w:hyperlink r:id="rId17" w:anchor="ntr14-L_2020198EN.01001301-E0014" w:history="1">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xml:space="preserve"> sayılı </w:t>
            </w:r>
            <w:proofErr w:type="gramStart"/>
            <w:r w:rsidRPr="001C701D">
              <w:rPr>
                <w:rFonts w:ascii="Times New Roman" w:eastAsia="Times New Roman" w:hAnsi="Times New Roman" w:cs="Times New Roman"/>
                <w:sz w:val="24"/>
                <w:szCs w:val="24"/>
                <w:lang w:eastAsia="tr-TR"/>
              </w:rPr>
              <w:t>Direktifleri , 91</w:t>
            </w:r>
            <w:proofErr w:type="gramEnd"/>
            <w:r w:rsidRPr="001C701D">
              <w:rPr>
                <w:rFonts w:ascii="Times New Roman" w:eastAsia="Times New Roman" w:hAnsi="Times New Roman" w:cs="Times New Roman"/>
                <w:sz w:val="24"/>
                <w:szCs w:val="24"/>
                <w:lang w:eastAsia="tr-TR"/>
              </w:rPr>
              <w:t>/  271/EEC </w:t>
            </w:r>
            <w:hyperlink r:id="rId18" w:anchor="ntr15-L_2020198EN.01001301-E0015" w:history="1">
              <w:r w:rsidRPr="001C701D">
                <w:rPr>
                  <w:rFonts w:ascii="Times New Roman" w:eastAsia="Times New Roman" w:hAnsi="Times New Roman" w:cs="Times New Roman"/>
                  <w:color w:val="0E47CB"/>
                  <w:sz w:val="24"/>
                  <w:szCs w:val="24"/>
                  <w:lang w:eastAsia="tr-TR"/>
                </w:rPr>
                <w:t>(15), 91/676/EEC ( </w:t>
              </w:r>
            </w:hyperlink>
            <w:hyperlink r:id="rId19" w:anchor="ntr14-L_2020198EN.01001301-E0014" w:history="1">
              <w:r w:rsidRPr="001C701D">
                <w:rPr>
                  <w:rFonts w:ascii="Times New Roman" w:eastAsia="Times New Roman" w:hAnsi="Times New Roman" w:cs="Times New Roman"/>
                  <w:color w:val="0E47CB"/>
                  <w:sz w:val="17"/>
                  <w:szCs w:val="17"/>
                  <w:vertAlign w:val="superscript"/>
                  <w:lang w:eastAsia="tr-TR"/>
                </w:rPr>
                <w:t>16</w:t>
              </w:r>
            </w:hyperlink>
            <w:hyperlink r:id="rId20" w:anchor="ntr13-L_2020198EN.01001301-E0013" w:history="1">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ve  </w:t>
            </w:r>
            <w:hyperlink r:id="rId21" w:anchor="ntr14-L_2020198EN.01001301-E0014" w:history="1">
              <w:r w:rsidRPr="001C701D">
                <w:rPr>
                  <w:rFonts w:ascii="Times New Roman" w:eastAsia="Times New Roman" w:hAnsi="Times New Roman" w:cs="Times New Roman"/>
                  <w:color w:val="0E47CB"/>
                  <w:sz w:val="24"/>
                  <w:szCs w:val="24"/>
                  <w:lang w:eastAsia="tr-TR"/>
                </w:rPr>
                <w:t>98 </w:t>
              </w:r>
            </w:hyperlink>
            <w:hyperlink r:id="rId22" w:anchor="ntr15-L_2020198EN.01001301-E0015" w:history="1">
              <w:r w:rsidRPr="001C701D">
                <w:rPr>
                  <w:rFonts w:ascii="Times New Roman" w:eastAsia="Times New Roman" w:hAnsi="Times New Roman" w:cs="Times New Roman"/>
                  <w:color w:val="0E47CB"/>
                  <w:sz w:val="17"/>
                  <w:szCs w:val="17"/>
                  <w:vertAlign w:val="superscript"/>
                  <w:lang w:eastAsia="tr-TR"/>
                </w:rPr>
                <w:t>/</w:t>
              </w:r>
            </w:hyperlink>
            <w:hyperlink r:id="rId23" w:anchor="ntr15-L_2020198EN.01001301-E0015" w:history="1">
              <w:r w:rsidRPr="001C701D">
                <w:rPr>
                  <w:rFonts w:ascii="Times New Roman" w:eastAsia="Times New Roman" w:hAnsi="Times New Roman" w:cs="Times New Roman"/>
                  <w:color w:val="0E47CB"/>
                  <w:sz w:val="24"/>
                  <w:szCs w:val="24"/>
                  <w:lang w:eastAsia="tr-TR"/>
                </w:rPr>
                <w:t> 83</w:t>
              </w:r>
            </w:hyperlink>
            <w:r w:rsidRPr="001C701D">
              <w:rPr>
                <w:rFonts w:ascii="Times New Roman" w:eastAsia="Times New Roman" w:hAnsi="Times New Roman" w:cs="Times New Roman"/>
                <w:sz w:val="24"/>
                <w:szCs w:val="24"/>
                <w:lang w:eastAsia="tr-TR"/>
              </w:rPr>
              <w:t> /EC  </w:t>
            </w:r>
            <w:hyperlink r:id="rId24" w:anchor="ntr17-L_2020198EN.01001301-E0017" w:history="1">
              <w:r w:rsidRPr="001C701D">
                <w:rPr>
                  <w:rFonts w:ascii="Times New Roman" w:eastAsia="Times New Roman" w:hAnsi="Times New Roman" w:cs="Times New Roman"/>
                  <w:color w:val="0E47CB"/>
                  <w:sz w:val="24"/>
                  <w:szCs w:val="24"/>
                  <w:lang w:eastAsia="tr-TR"/>
                </w:rPr>
                <w:t>( </w:t>
              </w:r>
            </w:hyperlink>
            <w:hyperlink r:id="rId25" w:anchor="ntr16-L_2020198EN.01001301-E0016" w:history="1">
              <w:r w:rsidRPr="001C701D">
                <w:rPr>
                  <w:rFonts w:ascii="Times New Roman" w:eastAsia="Times New Roman" w:hAnsi="Times New Roman" w:cs="Times New Roman"/>
                  <w:color w:val="0E47CB"/>
                  <w:sz w:val="17"/>
                  <w:szCs w:val="17"/>
                  <w:vertAlign w:val="superscript"/>
                  <w:lang w:eastAsia="tr-TR"/>
                </w:rPr>
                <w:t>17</w:t>
              </w:r>
            </w:hyperlink>
            <w:hyperlink r:id="rId26" w:anchor="ntr16-L_2020198EN.01001301-E0016" w:history="1">
              <w:r w:rsidRPr="001C701D">
                <w:rPr>
                  <w:rFonts w:ascii="Times New Roman" w:eastAsia="Times New Roman" w:hAnsi="Times New Roman" w:cs="Times New Roman"/>
                  <w:color w:val="0E47CB"/>
                  <w:sz w:val="24"/>
                  <w:szCs w:val="24"/>
                  <w:lang w:eastAsia="tr-TR"/>
                </w:rPr>
                <w:t> ) sayılı Konsey </w:t>
              </w:r>
            </w:hyperlink>
            <w:hyperlink r:id="rId27" w:anchor="ntr16-L_2020198EN.01001301-E0016" w:history="1">
              <w:r w:rsidRPr="001C701D">
                <w:rPr>
                  <w:rFonts w:ascii="Times New Roman" w:eastAsia="Times New Roman" w:hAnsi="Times New Roman" w:cs="Times New Roman"/>
                  <w:color w:val="0E47CB"/>
                  <w:sz w:val="24"/>
                  <w:szCs w:val="24"/>
                  <w:lang w:eastAsia="tr-TR"/>
                </w:rPr>
                <w:t>Direktifleri</w:t>
              </w:r>
            </w:hyperlink>
            <w:r w:rsidRPr="001C701D">
              <w:rPr>
                <w:rFonts w:ascii="Times New Roman" w:eastAsia="Times New Roman" w:hAnsi="Times New Roman" w:cs="Times New Roman"/>
                <w:sz w:val="24"/>
                <w:szCs w:val="24"/>
                <w:lang w:eastAsia="tr-TR"/>
              </w:rPr>
              <w:t> ve (AB) 2017/848 (18) sayılı Komisyon Kararı ve  Komisyonun  </w:t>
            </w:r>
            <w:hyperlink r:id="rId28" w:anchor="ntr18-L_2020198EN.01001301-E0018" w:history="1">
              <w:r w:rsidRPr="001C701D">
                <w:rPr>
                  <w:rFonts w:ascii="Times New Roman" w:eastAsia="Times New Roman" w:hAnsi="Times New Roman" w:cs="Times New Roman"/>
                  <w:color w:val="0E47CB"/>
                  <w:sz w:val="24"/>
                  <w:szCs w:val="24"/>
                  <w:lang w:eastAsia="tr-TR"/>
                </w:rPr>
                <w:t>18 </w:t>
              </w:r>
            </w:hyperlink>
            <w:hyperlink r:id="rId29" w:anchor="ntr17-L_2020198EN.01001301-E0017" w:history="1">
              <w:r w:rsidRPr="001C701D">
                <w:rPr>
                  <w:rFonts w:ascii="Times New Roman" w:eastAsia="Times New Roman" w:hAnsi="Times New Roman" w:cs="Times New Roman"/>
                  <w:color w:val="0E47CB"/>
                  <w:sz w:val="17"/>
                  <w:szCs w:val="17"/>
                  <w:vertAlign w:val="superscript"/>
                  <w:lang w:eastAsia="tr-TR"/>
                </w:rPr>
                <w:t>Temmuz</w:t>
              </w:r>
            </w:hyperlink>
            <w:hyperlink r:id="rId30" w:anchor="ntr17-L_2020198EN.01001301-E0017" w:history="1">
              <w:r w:rsidRPr="001C701D">
                <w:rPr>
                  <w:rFonts w:ascii="Times New Roman" w:eastAsia="Times New Roman" w:hAnsi="Times New Roman" w:cs="Times New Roman"/>
                  <w:color w:val="0E47CB"/>
                  <w:sz w:val="24"/>
                  <w:szCs w:val="24"/>
                  <w:lang w:eastAsia="tr-TR"/>
                </w:rPr>
                <w:t> tarihli </w:t>
              </w:r>
            </w:hyperlink>
            <w:hyperlink r:id="rId31" w:anchor="ntr18-L_2020198EN.01001301-E0018" w:history="1">
              <w:r w:rsidRPr="001C701D">
                <w:rPr>
                  <w:rFonts w:ascii="Times New Roman" w:eastAsia="Times New Roman" w:hAnsi="Times New Roman" w:cs="Times New Roman"/>
                  <w:color w:val="0E47CB"/>
                  <w:sz w:val="17"/>
                  <w:szCs w:val="17"/>
                  <w:vertAlign w:val="superscript"/>
                  <w:lang w:eastAsia="tr-TR"/>
                </w:rPr>
                <w:t>tebliğleri</w:t>
              </w:r>
            </w:hyperlink>
            <w:r w:rsidRPr="001C701D">
              <w:rPr>
                <w:rFonts w:ascii="Times New Roman" w:eastAsia="Times New Roman" w:hAnsi="Times New Roman" w:cs="Times New Roman"/>
                <w:sz w:val="24"/>
                <w:szCs w:val="24"/>
                <w:lang w:eastAsia="tr-TR"/>
              </w:rPr>
              <w:t> de  dahil olmak üzere ilgili Birlik hukukuna uygun olarak yorumlanmalıdır </w:t>
            </w:r>
            <w:hyperlink r:id="rId32" w:anchor="ntr18-L_2020198EN.01001301-E0018" w:history="1">
              <w:r w:rsidRPr="001C701D">
                <w:rPr>
                  <w:rFonts w:ascii="Times New Roman" w:eastAsia="Times New Roman" w:hAnsi="Times New Roman" w:cs="Times New Roman"/>
                  <w:color w:val="0E47CB"/>
                  <w:sz w:val="24"/>
                  <w:szCs w:val="24"/>
                  <w:lang w:eastAsia="tr-TR"/>
                </w:rPr>
                <w:t>.</w:t>
              </w:r>
            </w:hyperlink>
            <w:r w:rsidRPr="001C701D">
              <w:rPr>
                <w:rFonts w:ascii="Times New Roman" w:eastAsia="Times New Roman" w:hAnsi="Times New Roman" w:cs="Times New Roman"/>
                <w:sz w:val="24"/>
                <w:szCs w:val="24"/>
                <w:lang w:eastAsia="tr-TR"/>
              </w:rPr>
              <w:t> 2007 tarihli 'Avrupa Birliği'nde Su Kıtlığı ve Kuraklık Sorununun Ele Alınması', 14 Kasım 2012 tarihli 'Avrupa'nın Su Kaynaklarının Korunmasına Yönelik Bir Plan' ve 11 Mart 2019 tarihli 'Çevresel İlaçlara Yönelik Avrupa Birliği Stratejik Yaklaşımı'.</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(27)</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Dairesel ekonomiye geçişin çevresel hedefi, dairesel ekonomi, atık ve kimyasallar alanlarındaki ilgili Birlik hukukuna uygun olarak yorumlanmalıdır. </w:t>
            </w:r>
            <w:proofErr w:type="gramStart"/>
            <w:r w:rsidRPr="001C701D">
              <w:rPr>
                <w:rFonts w:ascii="Times New Roman" w:eastAsia="Times New Roman" w:hAnsi="Times New Roman" w:cs="Times New Roman"/>
                <w:sz w:val="24"/>
                <w:szCs w:val="24"/>
                <w:lang w:eastAsia="tr-TR"/>
              </w:rPr>
              <w:t>Bu mevzuat,  Avrupa Parlamentosu ve Konseyinin  1013/2006 </w:t>
            </w:r>
            <w:hyperlink r:id="rId33" w:anchor="ntr19-L_2020198EN.01001301-E0019"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19</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1907/2006  </w:t>
            </w:r>
            <w:hyperlink r:id="rId34" w:anchor="ntr20-L_2020198EN.01001301-E0020"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20</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ve 2019/1021  </w:t>
            </w:r>
            <w:hyperlink r:id="rId35" w:anchor="ntr21-L_2020198EN.01001301-E0021"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21</w:t>
              </w:r>
              <w:r w:rsidRPr="001C701D">
                <w:rPr>
                  <w:rFonts w:ascii="Times New Roman" w:eastAsia="Times New Roman" w:hAnsi="Times New Roman" w:cs="Times New Roman"/>
                  <w:color w:val="0E47CB"/>
                  <w:sz w:val="24"/>
                  <w:szCs w:val="24"/>
                  <w:lang w:eastAsia="tr-TR"/>
                </w:rPr>
                <w:t> ) sayılı Tüzükleri ve 94/62/EC (22), 2000/53/EC </w:t>
              </w:r>
            </w:hyperlink>
            <w:hyperlink r:id="rId36" w:anchor="ntr22-L_2020198EN.01001301-E0022"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23</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2006/66/EC  </w:t>
            </w:r>
            <w:hyperlink r:id="rId37" w:anchor="ntr23-L_2020198EN.01001301-E0023"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24</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2008/98/EC  </w:t>
            </w:r>
            <w:hyperlink r:id="rId38" w:anchor="ntr24-L_2020198EN.01001301-E0024"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25</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2010/75/EU  </w:t>
            </w:r>
            <w:hyperlink r:id="rId39" w:anchor="ntr25-L_2020198EN.01001301-E0025"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26</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2011/65/EU  </w:t>
            </w:r>
            <w:hyperlink r:id="rId40" w:anchor="ntr26-L_2020198EN.01001301-E0026"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27</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2012/19  /EU  </w:t>
            </w:r>
            <w:hyperlink r:id="rId41" w:anchor="ntr27-L_2020198EN.01001301-E0027"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28</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(AB) </w:t>
            </w:r>
            <w:hyperlink r:id="rId42" w:anchor="ntr28-L_2020198EN.01001301-E0028" w:history="1">
              <w:r w:rsidRPr="001C701D">
                <w:rPr>
                  <w:rFonts w:ascii="Times New Roman" w:eastAsia="Times New Roman" w:hAnsi="Times New Roman" w:cs="Times New Roman"/>
                  <w:color w:val="0E47CB"/>
                  <w:sz w:val="17"/>
                  <w:szCs w:val="17"/>
                  <w:vertAlign w:val="superscript"/>
                  <w:lang w:eastAsia="tr-TR"/>
                </w:rPr>
                <w:t>sayılı Direktiflerini de</w:t>
              </w:r>
            </w:hyperlink>
            <w:hyperlink r:id="rId43" w:anchor="ntr28-L_2020198EN.01001301-E0028" w:history="1">
              <w:r w:rsidRPr="001C701D">
                <w:rPr>
                  <w:rFonts w:ascii="Times New Roman" w:eastAsia="Times New Roman" w:hAnsi="Times New Roman" w:cs="Times New Roman"/>
                  <w:color w:val="0E47CB"/>
                  <w:sz w:val="24"/>
                  <w:szCs w:val="24"/>
                  <w:lang w:eastAsia="tr-TR"/>
                </w:rPr>
                <w:t> kapsamaktadır .</w:t>
              </w:r>
            </w:hyperlink>
            <w:r w:rsidRPr="001C701D">
              <w:rPr>
                <w:rFonts w:ascii="Times New Roman" w:eastAsia="Times New Roman" w:hAnsi="Times New Roman" w:cs="Times New Roman"/>
                <w:sz w:val="24"/>
                <w:szCs w:val="24"/>
                <w:lang w:eastAsia="tr-TR"/>
              </w:rPr>
              <w:t> Avrupa Parlamentosu ve Konseyinin  2019/883  </w:t>
            </w:r>
            <w:hyperlink r:id="rId44" w:anchor="ntr29-L_2020198EN.01001301-E0029"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29</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ve (AB) 2019/904  </w:t>
            </w:r>
            <w:hyperlink r:id="rId45" w:anchor="ntr30-L_2020198EN.01001301-E0030"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30</w:t>
              </w:r>
              <w:r w:rsidRPr="001C701D">
                <w:rPr>
                  <w:rFonts w:ascii="Times New Roman" w:eastAsia="Times New Roman" w:hAnsi="Times New Roman" w:cs="Times New Roman"/>
                  <w:color w:val="0E47CB"/>
                  <w:sz w:val="24"/>
                  <w:szCs w:val="24"/>
                  <w:lang w:eastAsia="tr-TR"/>
                </w:rPr>
                <w:t> ) sayılı Direktifleri, 1999/31/EC sayılı Konsey Direktifi </w:t>
              </w:r>
            </w:hyperlink>
            <w:hyperlink r:id="rId46" w:anchor="ntr31-L_2020198EN.01001301-E0031"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31</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(AB) No 1357/2014 sayılı Komisyon Tüzüğü  </w:t>
            </w:r>
            <w:hyperlink r:id="rId47" w:anchor="ntr32-L_2020198EN.01001301-E0032"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32</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ve 2000/532/EC sayılı Komisyon Kararları  </w:t>
            </w:r>
            <w:hyperlink r:id="rId48" w:anchor="ntr33-L_2020198EN.01001301-E0033"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33</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ve 2014/955/EU  </w:t>
            </w:r>
            <w:hyperlink r:id="rId49" w:anchor="ntr34-L_2020198EN.01001301-E0034"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34</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ve Komisyonun 2 Aralık 2015 tarihli 'Döngüyü Kapatma - Döngüsel Ekonomi için Bir AB Eylem Planı' ve 16 Ocak 2018 tarihli 'Döngüsel Ekonomide Plastikler için Bir Avrupa Stratejisi' konulu tebliğleri.</w:t>
            </w:r>
            <w:proofErr w:type="gramEnd"/>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(28)</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Ekonomik bir faaliyet, döngüsel ekonomiye geçişin çevresel hedefine çeşitli şekillerde önemli ölçüde katkıda bulunabilir. Örneğin, ürünlerin dayanıklılığını, tamir edilebilirliğini, </w:t>
            </w:r>
            <w:proofErr w:type="spellStart"/>
            <w:r w:rsidRPr="001C701D">
              <w:rPr>
                <w:rFonts w:ascii="Times New Roman" w:eastAsia="Times New Roman" w:hAnsi="Times New Roman" w:cs="Times New Roman"/>
                <w:sz w:val="24"/>
                <w:szCs w:val="24"/>
                <w:lang w:eastAsia="tr-TR"/>
              </w:rPr>
              <w:t>yükseltilebilirliğini</w:t>
            </w:r>
            <w:proofErr w:type="spellEnd"/>
            <w:r w:rsidRPr="001C701D">
              <w:rPr>
                <w:rFonts w:ascii="Times New Roman" w:eastAsia="Times New Roman" w:hAnsi="Times New Roman" w:cs="Times New Roman"/>
                <w:sz w:val="24"/>
                <w:szCs w:val="24"/>
                <w:lang w:eastAsia="tr-TR"/>
              </w:rPr>
              <w:t xml:space="preserve"> ve yeniden kullanılabilirliğini artırabilir veya malzeme tasarımı ve seçimi yoluyla kaynak kullanımını azaltabilir, özellikle yapı malzemelerinin kullanımını azaltmak ve yapı malzemelerinin yeniden kullanımını teşvik etmek amacıyla binalarda ve inşaat sektöründe yeniden kullanım, söküm ve </w:t>
            </w:r>
            <w:proofErr w:type="spellStart"/>
            <w:r w:rsidRPr="001C701D">
              <w:rPr>
                <w:rFonts w:ascii="Times New Roman" w:eastAsia="Times New Roman" w:hAnsi="Times New Roman" w:cs="Times New Roman"/>
                <w:sz w:val="24"/>
                <w:szCs w:val="24"/>
                <w:lang w:eastAsia="tr-TR"/>
              </w:rPr>
              <w:t>dekonstrüksiyon</w:t>
            </w:r>
            <w:proofErr w:type="spellEnd"/>
            <w:r w:rsidRPr="001C701D">
              <w:rPr>
                <w:rFonts w:ascii="Times New Roman" w:eastAsia="Times New Roman" w:hAnsi="Times New Roman" w:cs="Times New Roman"/>
                <w:sz w:val="24"/>
                <w:szCs w:val="24"/>
                <w:lang w:eastAsia="tr-TR"/>
              </w:rPr>
              <w:t xml:space="preserve"> işlemlerini </w:t>
            </w:r>
            <w:r w:rsidRPr="001C701D">
              <w:rPr>
                <w:rFonts w:ascii="Times New Roman" w:eastAsia="Times New Roman" w:hAnsi="Times New Roman" w:cs="Times New Roman"/>
                <w:sz w:val="24"/>
                <w:szCs w:val="24"/>
                <w:lang w:eastAsia="tr-TR"/>
              </w:rPr>
              <w:lastRenderedPageBreak/>
              <w:t xml:space="preserve">kolaylaştırabilir. Ayrıca, ürünleri, bileşenleri ve malzemeleri mümkün olduğunca uzun süre en yüksek fayda ve değerde tutmayı amaçlayan "hizmet olarak ürün" iş modelleri ve döngüsel değer zincirleri geliştirerek döngüsel ekonomiye geçişin çevresel hedefine önemli ölçüde katkıda bulunabilir. Malzeme ve ürünlerdeki tehlikeli madde içeriğinin yaşam döngüsü boyunca, daha güvenli alternatiflerle değiştirilmesi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azaltılması, en azından Birlik mevzuatına uygun olmalıdır. Ekonomik bir faaliyet, gıda üretimi, işlenmesi, imalatı veya dağıtımında gıda israfını azaltarak döngüsel ekonomiye geçişin çevresel hedefine de önemli ölçüde katkıda bulunabilir.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(29)</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Kirliliğin önlenmesi ve kontrolünün çevresel amacı, Avrupa Parlamentosu ve Konseyinin 2000/60/EC, 2004/35/EC  </w:t>
            </w:r>
            <w:hyperlink r:id="rId50" w:anchor="ntr35-L_2020198EN.01001301-E0035"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35</w:t>
              </w:r>
              <w:r w:rsidRPr="001C701D">
                <w:rPr>
                  <w:rFonts w:ascii="Times New Roman" w:eastAsia="Times New Roman" w:hAnsi="Times New Roman" w:cs="Times New Roman"/>
                  <w:color w:val="0E47CB"/>
                  <w:sz w:val="24"/>
                  <w:szCs w:val="24"/>
                  <w:lang w:eastAsia="tr-TR"/>
                </w:rPr>
                <w:t> ) , 2004/107/EC </w:t>
              </w:r>
            </w:hyperlink>
            <w:hyperlink r:id="rId51" w:anchor="ntr36-L_2020198EN.01001301-E0036"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36</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2006/  118/EC, 2008/50/EC  </w:t>
            </w:r>
            <w:hyperlink r:id="rId52" w:anchor="ntr37-L_2020198EN.01001301-E0037"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37</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2008/105/EC, 2010/75/EU, (EU) 2016/802  </w:t>
            </w:r>
            <w:hyperlink r:id="rId53" w:anchor="ntr38-L_2020198EN.01001301-E0038"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38</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ve (EU) 2016/2284  </w:t>
            </w:r>
            <w:hyperlink r:id="rId54" w:anchor="ntr39-L_2020198EN.01001301-E0039"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39</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xml:space="preserve"> Direktifleri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ilgili Birlik hukukuna uygun olarak yorumlanmalıdır.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(30)</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Biyolojik çeşitliliğin ve ekosistemlerin korunması ve restorasyonuna ilişkin çevresel hedef, Avrupa Parlamentosu ve Konseyin (AB) No 995/2010  </w:t>
            </w:r>
            <w:hyperlink r:id="rId55" w:anchor="ntr40-L_2020198EN.01001301-E0040"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40</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(AB) No 511/2014  </w:t>
            </w:r>
            <w:hyperlink r:id="rId56" w:anchor="ntr41-L_2020198EN.01001301-E0041"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41</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ve (AB) No 1143/2014  </w:t>
            </w:r>
            <w:hyperlink r:id="rId57" w:anchor="ntr42-L_2020198EN.01001301-E0042"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42</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w:t>
            </w:r>
            <w:proofErr w:type="gramStart"/>
            <w:r w:rsidRPr="001C701D">
              <w:rPr>
                <w:rFonts w:ascii="Times New Roman" w:eastAsia="Times New Roman" w:hAnsi="Times New Roman" w:cs="Times New Roman"/>
                <w:sz w:val="24"/>
                <w:szCs w:val="24"/>
                <w:lang w:eastAsia="tr-TR"/>
              </w:rPr>
              <w:t>Yönetmelikleri , Avrupa</w:t>
            </w:r>
            <w:proofErr w:type="gramEnd"/>
            <w:r w:rsidRPr="001C701D">
              <w:rPr>
                <w:rFonts w:ascii="Times New Roman" w:eastAsia="Times New Roman" w:hAnsi="Times New Roman" w:cs="Times New Roman"/>
                <w:sz w:val="24"/>
                <w:szCs w:val="24"/>
                <w:lang w:eastAsia="tr-TR"/>
              </w:rPr>
              <w:t xml:space="preserve"> Parlamentosu ve Konseyin 2009/147/EC Direktifi  </w:t>
            </w:r>
            <w:hyperlink r:id="rId58" w:anchor="ntr43-L_2020198EN.01001301-E0043"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43</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Konsey Tüzüğü (EC) No 338/97  </w:t>
            </w:r>
            <w:hyperlink r:id="rId59" w:anchor="ntr44-L_2020198EN.01001301-E0044"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44</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Konsey Direktifleri 91/676/EEC ve 92/43/EEC  </w:t>
            </w:r>
            <w:hyperlink r:id="rId60" w:anchor="ntr45-L_2020198EN.01001301-E0045"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45</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ve Komisyonun 21 Mayıs 2003 tarihli 'Orman Hukukunun Uygulanması, Yönetimi ve Ticareti (FLEGT)' ve 3 Mayıs 2011 tarihli 'Hayat sigortamız, doğal sermayemiz: AB'ye Giriş' konulu tebliğleri de dahil olmak üzere ilgili Birlik hukukuna uygun olarak yorumlanmalıdır. 6 Mayıs 2013 tarihli 'Yeşil Altyapı (Cİ) - Avrupa'nın Doğal Sermayesinin Geliştirilmesi', 26 Şubat 2016 tarihli 'Yaban Hayatı Kaçakçılığına Karşı AB Eylem Planı' ve 23 Temmuz 2019 tarihli 'Dünya Ormanlarını Koruma ve Onarmaya Yönelik AB Eyleminin Artırılması' başlıklı belgeler.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(31)</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Ekonomik bir faaliyet, biyolojik çeşitliliğin ve ekosistemlerin korunması ve onarılması gibi çevresel hedeflere, biyolojik çeşitliliği ve ekosistemleri korumak, muhafaza etmek veya onarmak ve böylece ekosistem hizmetlerini geliştirmek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çeşitli yollarla önemli ölçüde katkıda bulunabilir. Bu hizmetler, gıda ve su temini gibi tedarik hizmetleri; iklim ve hastalıkların kontrolü gibi düzenleyici hizmetler; besin döngüleri ve oksijen üretimi gibi destekleyici </w:t>
            </w:r>
            <w:proofErr w:type="gramStart"/>
            <w:r w:rsidRPr="001C701D">
              <w:rPr>
                <w:rFonts w:ascii="Times New Roman" w:eastAsia="Times New Roman" w:hAnsi="Times New Roman" w:cs="Times New Roman"/>
                <w:sz w:val="24"/>
                <w:szCs w:val="24"/>
                <w:lang w:eastAsia="tr-TR"/>
              </w:rPr>
              <w:t>hizmetler;</w:t>
            </w:r>
            <w:proofErr w:type="gramEnd"/>
            <w:r w:rsidRPr="001C701D">
              <w:rPr>
                <w:rFonts w:ascii="Times New Roman" w:eastAsia="Times New Roman" w:hAnsi="Times New Roman" w:cs="Times New Roman"/>
                <w:sz w:val="24"/>
                <w:szCs w:val="24"/>
                <w:lang w:eastAsia="tr-TR"/>
              </w:rPr>
              <w:t xml:space="preserve"> ve manevi ve eğlence amaçlı faydalar sağlama gibi kültürel hizmetler olmak üzere dört kategoriye ayrılır.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(32)</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Yönetmeliğin amaçları doğrultusunda, 'sürdürülebilir orman yönetimi' terimi, biyolojik çeşitliliği artırmaya veya ekosistemlerin bozulmasını, ormansızlaşmayı ve habitat kaybını durdurmaya veya önlemeye katkıda bulunan orman ve orman alanlarının uygulamaları ve kullanımları dikkate alınarak, ormanların ve orman alanlarının, yerel, ulusal ve küresel düzeylerde, biyolojik çeşitliliğini, üretkenliğini, yenilenme kapasitesini, canlılığını ve şimdi ve gelecekte ilgili </w:t>
            </w:r>
            <w:proofErr w:type="gramStart"/>
            <w:r w:rsidRPr="001C701D">
              <w:rPr>
                <w:rFonts w:ascii="Times New Roman" w:eastAsia="Times New Roman" w:hAnsi="Times New Roman" w:cs="Times New Roman"/>
                <w:sz w:val="24"/>
                <w:szCs w:val="24"/>
                <w:lang w:eastAsia="tr-TR"/>
              </w:rPr>
              <w:t>ekolojik</w:t>
            </w:r>
            <w:proofErr w:type="gramEnd"/>
            <w:r w:rsidRPr="001C701D">
              <w:rPr>
                <w:rFonts w:ascii="Times New Roman" w:eastAsia="Times New Roman" w:hAnsi="Times New Roman" w:cs="Times New Roman"/>
                <w:sz w:val="24"/>
                <w:szCs w:val="24"/>
                <w:lang w:eastAsia="tr-TR"/>
              </w:rPr>
              <w:t>, ekonomik ve sosyal işlevleri yerine getirme potansiyelini koruyan ve diğer ekosistemlere zarar vermeyen bir şekilde ve oranda yönetimi ve kullanımı dikkate alınarak, 16-17 Haziran 1993 tarihlerinde Helsinki'de düzenlenen Avrupa Ormanlarının Sürdürülebilir Yönetimi için Genel Yönergeler Hakkındaki İkinci Bakanlar Konferansı'nın H1 Kararı'nda belirtildiği gibi ve ayrıca (AB) No 995/2010 ve (AB) 2018/841  </w:t>
            </w:r>
            <w:hyperlink r:id="rId61" w:anchor="ntr46-L_2020198EN.01001301-E0046"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46</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sayılı Tüzükler dikkate alınarak yorumlanmalıdır. Avrupa Parlamentosu ve Konseyi ve Avrupa Parlamentosu ve Konseyinin 2018/2001 sayılı Direktifi  </w:t>
            </w:r>
            <w:hyperlink r:id="rId62" w:anchor="ntr47-L_2020198EN.01001301-E0047"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47</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xml:space="preserve"> ve </w:t>
            </w:r>
            <w:r w:rsidRPr="001C701D">
              <w:rPr>
                <w:rFonts w:ascii="Times New Roman" w:eastAsia="Times New Roman" w:hAnsi="Times New Roman" w:cs="Times New Roman"/>
                <w:sz w:val="24"/>
                <w:szCs w:val="24"/>
                <w:lang w:eastAsia="tr-TR"/>
              </w:rPr>
              <w:lastRenderedPageBreak/>
              <w:t>Komisyonun 20 Eylül 2013 tarihli 'Ormanlar ve orman temelli sektör için yeni bir AB Orman Stratejisi' hakkındaki bildirisi.</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(33)</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Bu Yönetmelik amaçları doğrultusunda, 'enerji verimliliği' terimi geniş bir anlamda kullanılmaktadır ve Avrupa Parlamentosu ve Konseyinin (AB) 2017/1369 sayılı Tüzüğü  </w:t>
            </w:r>
            <w:hyperlink r:id="rId63" w:anchor="ntr48-L_2020198EN.01001301-E0048"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48</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ve Avrupa Parlamentosu ve Konseyinin 2012/27/AB  </w:t>
            </w:r>
            <w:hyperlink r:id="rId64" w:anchor="ntr49-L_2020198EN.01001301-E0049"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49</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ve (AB) 2018/844  </w:t>
            </w:r>
            <w:hyperlink r:id="rId65" w:anchor="ntr50-L_2020198EN.01001301-E0050"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50</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Direktifleri ile Avrupa Parlamentosu ve Konseyinin 2009/125/EC sayılı Direktifi uyarınca benimsenen uygulama tedbirleri  </w:t>
            </w:r>
            <w:hyperlink r:id="rId66" w:anchor="ntr51-L_2020198EN.01001301-E0051"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51</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xml:space="preserve"> dahil olmak üzere ilgili Birlik hukuku dikkate alınarak </w:t>
            </w:r>
            <w:proofErr w:type="gramStart"/>
            <w:r w:rsidRPr="001C701D">
              <w:rPr>
                <w:rFonts w:ascii="Times New Roman" w:eastAsia="Times New Roman" w:hAnsi="Times New Roman" w:cs="Times New Roman"/>
                <w:sz w:val="24"/>
                <w:szCs w:val="24"/>
                <w:lang w:eastAsia="tr-TR"/>
              </w:rPr>
              <w:t>yorumlanmalıdır .</w:t>
            </w:r>
            <w:proofErr w:type="gramEnd"/>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(34)</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Her çevresel hedef için, ekonomik faaliyetlerin bu hedefe önemli ölçüde katkıda bulunup bulunmadığını belirlemek için tek tip </w:t>
            </w:r>
            <w:proofErr w:type="gramStart"/>
            <w:r w:rsidRPr="001C701D">
              <w:rPr>
                <w:rFonts w:ascii="Times New Roman" w:eastAsia="Times New Roman" w:hAnsi="Times New Roman" w:cs="Times New Roman"/>
                <w:sz w:val="24"/>
                <w:szCs w:val="24"/>
                <w:lang w:eastAsia="tr-TR"/>
              </w:rPr>
              <w:t>kriterler</w:t>
            </w:r>
            <w:proofErr w:type="gramEnd"/>
            <w:r w:rsidRPr="001C701D">
              <w:rPr>
                <w:rFonts w:ascii="Times New Roman" w:eastAsia="Times New Roman" w:hAnsi="Times New Roman" w:cs="Times New Roman"/>
                <w:sz w:val="24"/>
                <w:szCs w:val="24"/>
                <w:lang w:eastAsia="tr-TR"/>
              </w:rPr>
              <w:t xml:space="preserve"> belirlenmelidir. Tek tip </w:t>
            </w:r>
            <w:proofErr w:type="gramStart"/>
            <w:r w:rsidRPr="001C701D">
              <w:rPr>
                <w:rFonts w:ascii="Times New Roman" w:eastAsia="Times New Roman" w:hAnsi="Times New Roman" w:cs="Times New Roman"/>
                <w:sz w:val="24"/>
                <w:szCs w:val="24"/>
                <w:lang w:eastAsia="tr-TR"/>
              </w:rPr>
              <w:t>kriterlerin</w:t>
            </w:r>
            <w:proofErr w:type="gramEnd"/>
            <w:r w:rsidRPr="001C701D">
              <w:rPr>
                <w:rFonts w:ascii="Times New Roman" w:eastAsia="Times New Roman" w:hAnsi="Times New Roman" w:cs="Times New Roman"/>
                <w:sz w:val="24"/>
                <w:szCs w:val="24"/>
                <w:lang w:eastAsia="tr-TR"/>
              </w:rPr>
              <w:t xml:space="preserve"> bir unsuru, bu Yönetmelikte belirtilen çevresel hedeflerden herhangi birine önemli zarar verilmesini önlemek olmalıdır. Bunun amacı, söz konusu yatırımlardan faydalanan ekonomik faaliyetlerin, çevresel bir hedefe katkılarından daha ağır basacak ölçüde çevreye zarar vermesi durumunda, söz konusu yatırımların çevresel olarak sürdürülebilir olarak nitelendirilmesini önlemektir. Bu kriterler, söz konusu ekonomik faaliyetin sağladığı ürün ve hizmetlerin yaşam döngüsünü, ekonomik faaliyetin çevresel etkisine ek olarak, özellikle üretim, kullanım ve kullanım ömrü sonu gibi mevcut yaşam döngüsü değerlendirmelerinden elde edilen kanıtlar da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dikkate almalıdır.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(35)</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Avrupa Parlamentosu, Konsey ve Komisyon'un, sürdürülebilir ve kapsayıcı büyümeyi desteklemek amacıyla Avrupa Sosyal Haklar </w:t>
            </w:r>
            <w:proofErr w:type="spellStart"/>
            <w:r w:rsidRPr="001C701D">
              <w:rPr>
                <w:rFonts w:ascii="Times New Roman" w:eastAsia="Times New Roman" w:hAnsi="Times New Roman" w:cs="Times New Roman"/>
                <w:sz w:val="24"/>
                <w:szCs w:val="24"/>
                <w:lang w:eastAsia="tr-TR"/>
              </w:rPr>
              <w:t>Sütunu'nda</w:t>
            </w:r>
            <w:proofErr w:type="spellEnd"/>
            <w:r w:rsidRPr="001C701D">
              <w:rPr>
                <w:rFonts w:ascii="Times New Roman" w:eastAsia="Times New Roman" w:hAnsi="Times New Roman" w:cs="Times New Roman"/>
                <w:sz w:val="24"/>
                <w:szCs w:val="24"/>
                <w:lang w:eastAsia="tr-TR"/>
              </w:rPr>
              <w:t xml:space="preserve"> yer alan ilkelerin izlenmesine yönelik ortak taahhüdünü hatırlatarak ve uluslararası asgari insan ve çalışma hakları ile standartlarının önemini kabul ederek, asgari güvencelere uyum, ekonomik faaliyetlerin çevresel olarak sürdürülebilir olarak nitelendirilmesi için bir koşul olmalıdır. Bu nedenle, ekonomik faaliyetler yalnızca OECD Çokuluslu İşletmeler Rehberi ve BM İş ve İnsan Hakları Rehber İlkeleri ile uyumlu olarak yürütüldüğü takdirde çevresel olarak sürdürülebilir olarak nitelendirilmelidir. Bu ilkeler, Uluslararası Çalışma Örgütü'nün (ILO) Çalışma Hayatında Temel İlkeler ve Haklar Bildirgesi, ILO'nun sekiz temel sözleşmesi ve Uluslararası İnsan Hakları Bildirgesi'ni de içerir. ILO'nun temel sözleşmeleri, işletmelerin saygı duyması gereken insan ve çalışma haklarını tanımlar. Bu uluslararası standartlardan bazıları, özellikle kölelik ve zorla çalıştırmanın yasaklanması ve ayrımcılık yapmama ilkesi olmak üzere, Avrupa Birliği Temel Haklar Şartı'nda yer almaktadır. Bu asgari güvenceler, uygulanabilir olduğu durumlarda Birlik hukukunda belirtilen çevre, sağlık, güvenlik ve sosyal sürdürülebilirlikle ilgili daha katı gerekliliklerin uygulanmasına halel getirmez. İşletmeler, bu asgari güvencelere uyum sağlarken, (AB) 2019/2088 sayılı </w:t>
            </w:r>
            <w:proofErr w:type="spellStart"/>
            <w:r w:rsidRPr="001C701D">
              <w:rPr>
                <w:rFonts w:ascii="Times New Roman" w:eastAsia="Times New Roman" w:hAnsi="Times New Roman" w:cs="Times New Roman"/>
                <w:sz w:val="24"/>
                <w:szCs w:val="24"/>
                <w:lang w:eastAsia="tr-TR"/>
              </w:rPr>
              <w:t>Tüzük'te</w:t>
            </w:r>
            <w:proofErr w:type="spellEnd"/>
            <w:r w:rsidRPr="001C701D">
              <w:rPr>
                <w:rFonts w:ascii="Times New Roman" w:eastAsia="Times New Roman" w:hAnsi="Times New Roman" w:cs="Times New Roman"/>
                <w:sz w:val="24"/>
                <w:szCs w:val="24"/>
                <w:lang w:eastAsia="tr-TR"/>
              </w:rPr>
              <w:t xml:space="preserve"> belirtilen "önemli zarar vermeme" ilkesine uymalı ve bu ilkeyi daha da açıklayan söz konusu Tüzük uyarınca kabul edilen düzenleyici teknik standartları dikkate almalıdır.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(36)</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Bu Yönetmelik ile (AB) 2019/2088 Yönetmeliği arasında tutarlılığın sağlanması amacıyla, bu Yönetmelik, (AB) 2019/2088 Yönetmeliğini, Avrupa Parlamentosu ve Konseyinin (AB) 1093/2010  </w:t>
            </w:r>
            <w:hyperlink r:id="rId67" w:anchor="ntr52-L_2020198EN.01001301-E0052"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52</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(AB) 1094/2010 (53) ve (AB) 1095/2010 (54) sayılı  </w:t>
            </w:r>
            <w:hyperlink r:id="rId68" w:anchor="ntr53-L_2020198EN.01001301-E0053" w:history="1">
              <w:r w:rsidRPr="001C701D">
                <w:rPr>
                  <w:rFonts w:ascii="Times New Roman" w:eastAsia="Times New Roman" w:hAnsi="Times New Roman" w:cs="Times New Roman"/>
                  <w:color w:val="0E47CB"/>
                  <w:sz w:val="24"/>
                  <w:szCs w:val="24"/>
                  <w:lang w:eastAsia="tr-TR"/>
                </w:rPr>
                <w:t>Yönetmelikleri </w:t>
              </w:r>
              <w:r w:rsidRPr="001C701D">
                <w:rPr>
                  <w:rFonts w:ascii="Times New Roman" w:eastAsia="Times New Roman" w:hAnsi="Times New Roman" w:cs="Times New Roman"/>
                  <w:color w:val="0E47CB"/>
                  <w:sz w:val="17"/>
                  <w:szCs w:val="17"/>
                  <w:vertAlign w:val="superscript"/>
                  <w:lang w:eastAsia="tr-TR"/>
                </w:rPr>
                <w:t>ile</w:t>
              </w:r>
              <w:r w:rsidRPr="001C701D">
                <w:rPr>
                  <w:rFonts w:ascii="Times New Roman" w:eastAsia="Times New Roman" w:hAnsi="Times New Roman" w:cs="Times New Roman"/>
                  <w:color w:val="0E47CB"/>
                  <w:sz w:val="24"/>
                  <w:szCs w:val="24"/>
                  <w:lang w:eastAsia="tr-TR"/>
                </w:rPr>
                <w:t> kurulan</w:t>
              </w:r>
            </w:hyperlink>
            <w:r w:rsidRPr="001C701D">
              <w:rPr>
                <w:rFonts w:ascii="Times New Roman" w:eastAsia="Times New Roman" w:hAnsi="Times New Roman" w:cs="Times New Roman"/>
                <w:sz w:val="24"/>
                <w:szCs w:val="24"/>
                <w:lang w:eastAsia="tr-TR"/>
              </w:rPr>
              <w:t> Avrupa  </w:t>
            </w:r>
            <w:hyperlink r:id="rId69" w:anchor="ntr54-L_2020198EN.01001301-E0054" w:history="1">
              <w:r w:rsidRPr="001C701D">
                <w:rPr>
                  <w:rFonts w:ascii="Times New Roman" w:eastAsia="Times New Roman" w:hAnsi="Times New Roman" w:cs="Times New Roman"/>
                  <w:color w:val="0E47CB"/>
                  <w:sz w:val="24"/>
                  <w:szCs w:val="24"/>
                  <w:lang w:eastAsia="tr-TR"/>
                </w:rPr>
                <w:t>Gözetim </w:t>
              </w:r>
              <w:r w:rsidRPr="001C701D">
                <w:rPr>
                  <w:rFonts w:ascii="Times New Roman" w:eastAsia="Times New Roman" w:hAnsi="Times New Roman" w:cs="Times New Roman"/>
                  <w:color w:val="0E47CB"/>
                  <w:sz w:val="17"/>
                  <w:szCs w:val="17"/>
                  <w:vertAlign w:val="superscript"/>
                  <w:lang w:eastAsia="tr-TR"/>
                </w:rPr>
                <w:t>Otoritelerine</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xml:space="preserve"> toplu olarak 'ESA'lar') 'önemli zarar vermeme' ilkesiyle ilgili bilgilerin içeriği ve sunumunun ayrıntılarını daha da belirlemek için düzenleyici teknik standartlar geliştirmeleri talimatını vermek üzere değiştirmelidir. </w:t>
            </w:r>
            <w:proofErr w:type="gramEnd"/>
            <w:r w:rsidRPr="001C701D">
              <w:rPr>
                <w:rFonts w:ascii="Times New Roman" w:eastAsia="Times New Roman" w:hAnsi="Times New Roman" w:cs="Times New Roman"/>
                <w:sz w:val="24"/>
                <w:szCs w:val="24"/>
                <w:lang w:eastAsia="tr-TR"/>
              </w:rPr>
              <w:t xml:space="preserve">Bu düzenleyici teknik standartlar, (AB) 2019/2088 Yönetmeliğinde atıfta </w:t>
            </w:r>
            <w:r w:rsidRPr="001C701D">
              <w:rPr>
                <w:rFonts w:ascii="Times New Roman" w:eastAsia="Times New Roman" w:hAnsi="Times New Roman" w:cs="Times New Roman"/>
                <w:sz w:val="24"/>
                <w:szCs w:val="24"/>
                <w:lang w:eastAsia="tr-TR"/>
              </w:rPr>
              <w:lastRenderedPageBreak/>
              <w:t xml:space="preserve">bulunulan olumsuz etkilerle ilgili sürdürülebilirlik göstergelerinin içeriği, </w:t>
            </w:r>
            <w:proofErr w:type="gramStart"/>
            <w:r w:rsidRPr="001C701D">
              <w:rPr>
                <w:rFonts w:ascii="Times New Roman" w:eastAsia="Times New Roman" w:hAnsi="Times New Roman" w:cs="Times New Roman"/>
                <w:sz w:val="24"/>
                <w:szCs w:val="24"/>
                <w:lang w:eastAsia="tr-TR"/>
              </w:rPr>
              <w:t>metodolojileri</w:t>
            </w:r>
            <w:proofErr w:type="gramEnd"/>
            <w:r w:rsidRPr="001C701D">
              <w:rPr>
                <w:rFonts w:ascii="Times New Roman" w:eastAsia="Times New Roman" w:hAnsi="Times New Roman" w:cs="Times New Roman"/>
                <w:sz w:val="24"/>
                <w:szCs w:val="24"/>
                <w:lang w:eastAsia="tr-TR"/>
              </w:rPr>
              <w:t xml:space="preserve"> ve sunumuyla tutarlı olmalıdır. Ayrıca, Avrupa Sosyal Haklar </w:t>
            </w:r>
            <w:proofErr w:type="spellStart"/>
            <w:r w:rsidRPr="001C701D">
              <w:rPr>
                <w:rFonts w:ascii="Times New Roman" w:eastAsia="Times New Roman" w:hAnsi="Times New Roman" w:cs="Times New Roman"/>
                <w:sz w:val="24"/>
                <w:szCs w:val="24"/>
                <w:lang w:eastAsia="tr-TR"/>
              </w:rPr>
              <w:t>Sütunu'nda</w:t>
            </w:r>
            <w:proofErr w:type="spellEnd"/>
            <w:r w:rsidRPr="001C701D">
              <w:rPr>
                <w:rFonts w:ascii="Times New Roman" w:eastAsia="Times New Roman" w:hAnsi="Times New Roman" w:cs="Times New Roman"/>
                <w:sz w:val="24"/>
                <w:szCs w:val="24"/>
                <w:lang w:eastAsia="tr-TR"/>
              </w:rPr>
              <w:t xml:space="preserve"> yer alan ilkelerle, OECD Çokuluslu Şirketler Rehberi'yle, ILO Temel İlkeler ve Çalışma Hakları Bildirgesi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BM İş ve İnsan Hakları Rehber İlkeleri'yle, ILO'nun sekiz temel sözleşmesiyle ve Uluslararası İnsan Hakları Yasası'yla da uyumlu olmalıdır.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(37)</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(AB) 2019/2088 sayılı Tüzük, Çevresel Etki Değerlendirme Kuruluşlarının, Ortak Komite aracılığıyla, sözleşme öncesi açıklamalarda ve periyodik raporlarda çevresel özelliklerin ve çevresel açıdan sürdürülebilir yatırımların teşvikine ilişkin şeffaflık kurallarını desteklemek üzere düzenleyici teknik standartların taslağını geliştirmelerini zorunlu kılmak üzere daha da değiştirilmelidir.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(38)</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Bir ekonomik faaliyetin çevresel etkisini değerlendirmek için gereken belirli teknik ayrıntılar ve hem bilim hem de teknolojinin hızla değişen doğası göz önüne alındığında, çevresel olarak sürdürülebilir ekonomik faaliyetlere ilişkin </w:t>
            </w:r>
            <w:proofErr w:type="gramStart"/>
            <w:r w:rsidRPr="001C701D">
              <w:rPr>
                <w:rFonts w:ascii="Times New Roman" w:eastAsia="Times New Roman" w:hAnsi="Times New Roman" w:cs="Times New Roman"/>
                <w:sz w:val="24"/>
                <w:szCs w:val="24"/>
                <w:lang w:eastAsia="tr-TR"/>
              </w:rPr>
              <w:t>kriterler</w:t>
            </w:r>
            <w:proofErr w:type="gramEnd"/>
            <w:r w:rsidRPr="001C701D">
              <w:rPr>
                <w:rFonts w:ascii="Times New Roman" w:eastAsia="Times New Roman" w:hAnsi="Times New Roman" w:cs="Times New Roman"/>
                <w:sz w:val="24"/>
                <w:szCs w:val="24"/>
                <w:lang w:eastAsia="tr-TR"/>
              </w:rPr>
              <w:t xml:space="preserve"> bu değişiklikleri yansıtacak şekilde düzenli olarak uyarlanmalıdır. Kriterlerin güncel olması için, bilimsel kanıtlara ve uzmanların yanı sıra ilgili paydaşların katkılarına dayanarak, "önemli katkı" ve "önemli zarar" koşulları farklı ekonomik faaliyetler için daha ayrıntılı olarak belirlenmeli ve düzenli olarak güncellenmelidir. Bu amaçla, Komisyon tarafından sürdürülebilir finans konusunda çok </w:t>
            </w:r>
            <w:proofErr w:type="spellStart"/>
            <w:r w:rsidRPr="001C701D">
              <w:rPr>
                <w:rFonts w:ascii="Times New Roman" w:eastAsia="Times New Roman" w:hAnsi="Times New Roman" w:cs="Times New Roman"/>
                <w:sz w:val="24"/>
                <w:szCs w:val="24"/>
                <w:lang w:eastAsia="tr-TR"/>
              </w:rPr>
              <w:t>paydaşlı</w:t>
            </w:r>
            <w:proofErr w:type="spellEnd"/>
            <w:r w:rsidRPr="001C701D">
              <w:rPr>
                <w:rFonts w:ascii="Times New Roman" w:eastAsia="Times New Roman" w:hAnsi="Times New Roman" w:cs="Times New Roman"/>
                <w:sz w:val="24"/>
                <w:szCs w:val="24"/>
                <w:lang w:eastAsia="tr-TR"/>
              </w:rPr>
              <w:t xml:space="preserve"> bir platformdan alınan teknik girdilere dayanarak, farklı ekonomik faaliyetler için ayrıntılı ve kalibre edilmiş teknik tarama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oluşturulmalıdır.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(39)</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Bazı ekonomik faaliyetlerin çevre üzerinde olumsuz etkileri vardır ve bu olumsuz etkilerin azaltılması, bir veya daha fazla çevresel hedefe önemli katkı sağlayabilir. Bu ekonomik faaliyetler için, özellikle sektör ortalamasına kıyasla çevresel performansta önemli bir iyileşme gerektiren, ancak aynı zamanda finanse edilen ekonomik faaliyetin ekonomik ömrü boyunca karbon yoğun kilitlenme etkileri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çevreye zararlı kilitlenme etkilerinden kaçınan teknik tarama kriterleri belirlemek uygundur. Bu </w:t>
            </w:r>
            <w:proofErr w:type="gramStart"/>
            <w:r w:rsidRPr="001C701D">
              <w:rPr>
                <w:rFonts w:ascii="Times New Roman" w:eastAsia="Times New Roman" w:hAnsi="Times New Roman" w:cs="Times New Roman"/>
                <w:sz w:val="24"/>
                <w:szCs w:val="24"/>
                <w:lang w:eastAsia="tr-TR"/>
              </w:rPr>
              <w:t>kriterler</w:t>
            </w:r>
            <w:proofErr w:type="gramEnd"/>
            <w:r w:rsidRPr="001C701D">
              <w:rPr>
                <w:rFonts w:ascii="Times New Roman" w:eastAsia="Times New Roman" w:hAnsi="Times New Roman" w:cs="Times New Roman"/>
                <w:sz w:val="24"/>
                <w:szCs w:val="24"/>
                <w:lang w:eastAsia="tr-TR"/>
              </w:rPr>
              <w:t>, belirli bir ekonomik faaliyetin uzun vadeli etkisini de dikkate almalıdır.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(40)</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Bir ekonomik faaliyet, sağladığı faydalardan daha fazla çevreye zarar veriyorsa, çevresel olarak sürdürülebilir olarak nitelendirilmemelidir. Teknik tarama kriterleri, Birlik hukuku uyarınca belirlenen asgari gereklilikler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diğer hedeflere önemli zarar verilmesini önlemek için gerekli asgari gereklilikleri belirlemelidir. Komisyon, teknik tarama kriterlerini belirlerken ve güncellerken, bu kriterlerin mevcut bilimsel kanıtlara dayanmasını, mevcut yaşam döngüsü değerlendirmeleri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yaşam döngüsü hususlarını dikkate alarak geliştirilmesini ve düzenli olarak güncellenmesini sağlamalıdır. Bilimsel değerlendirmenin bir riskin yeterli kesinlikte belirlenmesine izin vermediği durumlarda, </w:t>
            </w:r>
            <w:proofErr w:type="spellStart"/>
            <w:r w:rsidRPr="001C701D">
              <w:rPr>
                <w:rFonts w:ascii="Times New Roman" w:eastAsia="Times New Roman" w:hAnsi="Times New Roman" w:cs="Times New Roman"/>
                <w:sz w:val="24"/>
                <w:szCs w:val="24"/>
                <w:lang w:eastAsia="tr-TR"/>
              </w:rPr>
              <w:t>TFEU'nun</w:t>
            </w:r>
            <w:proofErr w:type="spellEnd"/>
            <w:r w:rsidRPr="001C701D">
              <w:rPr>
                <w:rFonts w:ascii="Times New Roman" w:eastAsia="Times New Roman" w:hAnsi="Times New Roman" w:cs="Times New Roman"/>
                <w:sz w:val="24"/>
                <w:szCs w:val="24"/>
                <w:lang w:eastAsia="tr-TR"/>
              </w:rPr>
              <w:t xml:space="preserve"> 191. Maddesi uyarınca ihtiyati tedbir ilkesi uygulanmalıdır.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(41)</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Komisyon, iklim değişikliğinin azaltılması çevresel hedefi için teknik tarama kriterlerini belirlerken ve güncellerken, bu Yönetmeliğin 10(2) maddesi uyarınca iklim açısından </w:t>
            </w:r>
            <w:proofErr w:type="gramStart"/>
            <w:r w:rsidRPr="001C701D">
              <w:rPr>
                <w:rFonts w:ascii="Times New Roman" w:eastAsia="Times New Roman" w:hAnsi="Times New Roman" w:cs="Times New Roman"/>
                <w:sz w:val="24"/>
                <w:szCs w:val="24"/>
                <w:lang w:eastAsia="tr-TR"/>
              </w:rPr>
              <w:t>nötr</w:t>
            </w:r>
            <w:proofErr w:type="gramEnd"/>
            <w:r w:rsidRPr="001C701D">
              <w:rPr>
                <w:rFonts w:ascii="Times New Roman" w:eastAsia="Times New Roman" w:hAnsi="Times New Roman" w:cs="Times New Roman"/>
                <w:sz w:val="24"/>
                <w:szCs w:val="24"/>
                <w:lang w:eastAsia="tr-TR"/>
              </w:rPr>
              <w:t xml:space="preserve"> bir ekonomiye doğru devam eden ve gerekli geçişi dikkate almalı ve teşvikler sağlamalıdır. İklim açısından </w:t>
            </w:r>
            <w:proofErr w:type="gramStart"/>
            <w:r w:rsidRPr="001C701D">
              <w:rPr>
                <w:rFonts w:ascii="Times New Roman" w:eastAsia="Times New Roman" w:hAnsi="Times New Roman" w:cs="Times New Roman"/>
                <w:sz w:val="24"/>
                <w:szCs w:val="24"/>
                <w:lang w:eastAsia="tr-TR"/>
              </w:rPr>
              <w:t>nötr</w:t>
            </w:r>
            <w:proofErr w:type="gramEnd"/>
            <w:r w:rsidRPr="001C701D">
              <w:rPr>
                <w:rFonts w:ascii="Times New Roman" w:eastAsia="Times New Roman" w:hAnsi="Times New Roman" w:cs="Times New Roman"/>
                <w:sz w:val="24"/>
                <w:szCs w:val="24"/>
                <w:lang w:eastAsia="tr-TR"/>
              </w:rPr>
              <w:t xml:space="preserve"> enerji kullanımına ve halihazırda düşük karbonlu ekonomik faaliyetlere ve sektörlere daha fazla yatırım yapılmasına ek olarak, bu geçiş, teknolojik ve ekonomik olarak uygulanabilir düşük karbonlu alternatifleri olmayan diğer ekonomik </w:t>
            </w:r>
            <w:r w:rsidRPr="001C701D">
              <w:rPr>
                <w:rFonts w:ascii="Times New Roman" w:eastAsia="Times New Roman" w:hAnsi="Times New Roman" w:cs="Times New Roman"/>
                <w:sz w:val="24"/>
                <w:szCs w:val="24"/>
                <w:lang w:eastAsia="tr-TR"/>
              </w:rPr>
              <w:lastRenderedPageBreak/>
              <w:t xml:space="preserve">faaliyetlerde ve sektörlerde sera gazı emisyonlarında önemli azalmalar gerektirmektedir. Bu geçiş dönemi ekonomik faaliyetleri, sera gazı emisyonları sektör veya endüstri ortalamasından önemli ölçüde düşükse, düşük karbonlu alternatiflerin geliştirilmesini ve yaygınlaştırılmasını engellemez ve bu varlıkların ekonomik ömrü göz önüne alındığında, iklim açısından </w:t>
            </w:r>
            <w:proofErr w:type="gramStart"/>
            <w:r w:rsidRPr="001C701D">
              <w:rPr>
                <w:rFonts w:ascii="Times New Roman" w:eastAsia="Times New Roman" w:hAnsi="Times New Roman" w:cs="Times New Roman"/>
                <w:sz w:val="24"/>
                <w:szCs w:val="24"/>
                <w:lang w:eastAsia="tr-TR"/>
              </w:rPr>
              <w:t>nötr</w:t>
            </w:r>
            <w:proofErr w:type="gramEnd"/>
            <w:r w:rsidRPr="001C701D">
              <w:rPr>
                <w:rFonts w:ascii="Times New Roman" w:eastAsia="Times New Roman" w:hAnsi="Times New Roman" w:cs="Times New Roman"/>
                <w:sz w:val="24"/>
                <w:szCs w:val="24"/>
                <w:lang w:eastAsia="tr-TR"/>
              </w:rPr>
              <w:t xml:space="preserve"> olma hedefiyle bağdaşmayan varlıkların kilitlenmesine yol açmıyorsa, iklim değişikliğinin azaltılmasına önemli ölçüde katkıda bulunmuş olarak nitelendirilmelidir. Bu tür geçiş dönemi ekonomik faaliyetleri için teknik tarama kriterleri, bu geçiş dönemlerinin iklim açısından </w:t>
            </w:r>
            <w:proofErr w:type="gramStart"/>
            <w:r w:rsidRPr="001C701D">
              <w:rPr>
                <w:rFonts w:ascii="Times New Roman" w:eastAsia="Times New Roman" w:hAnsi="Times New Roman" w:cs="Times New Roman"/>
                <w:sz w:val="24"/>
                <w:szCs w:val="24"/>
                <w:lang w:eastAsia="tr-TR"/>
              </w:rPr>
              <w:t>nötr</w:t>
            </w:r>
            <w:proofErr w:type="gramEnd"/>
            <w:r w:rsidRPr="001C701D">
              <w:rPr>
                <w:rFonts w:ascii="Times New Roman" w:eastAsia="Times New Roman" w:hAnsi="Times New Roman" w:cs="Times New Roman"/>
                <w:sz w:val="24"/>
                <w:szCs w:val="24"/>
                <w:lang w:eastAsia="tr-TR"/>
              </w:rPr>
              <w:t xml:space="preserve"> olma yolunda güvenilir bir yola sahip olmasını sağlamalı ve düzenli aralıklarla buna göre ayarlanmalıdır.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(42)</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Bir ekonomik faaliyet, bu Yönetmelikte belirtilen çevresel hedeflerden bir veya daha fazlasına önemli ölçüde katkıda bulunmuş sayılmalıdır; ancak bu, diğer faaliyetlerin bu hedeflerden bir veya daha fazlasına önemli ölçüde katkıda bulunmasını doğrudan mümkün kılmalıdır. Bu tür kolaylaştırıcı faaliyetler, söz konusu varlıkların ekonomik ömrü göz önüne alındığında, uzun vadeli çevresel hedefleri baltalayacak bir varlık kilitlemesine yol açmamalı ve yaşam döngüsü değerlendirmeleri temelinde önemli bir olumlu çevresel etkiye sahip olmalıdır.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(43)</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Komisyon, teknik tarama kriterlerini oluştururken ve güncellerken,  Avrupa Parlamentosu ve Konseyinin  (EC) No 1221/2009 </w:t>
            </w:r>
            <w:hyperlink r:id="rId70" w:anchor="ntr55-L_2020198EN.01001301-E0055"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55</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ve (EC) 66/2010  </w:t>
            </w:r>
            <w:hyperlink r:id="rId71" w:anchor="ntr56-L_2020198EN.01001301-E0056"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56</w:t>
              </w:r>
              <w:r w:rsidRPr="001C701D">
                <w:rPr>
                  <w:rFonts w:ascii="Times New Roman" w:eastAsia="Times New Roman" w:hAnsi="Times New Roman" w:cs="Times New Roman"/>
                  <w:color w:val="0E47CB"/>
                  <w:sz w:val="24"/>
                  <w:szCs w:val="24"/>
                  <w:lang w:eastAsia="tr-TR"/>
                </w:rPr>
                <w:t> ) sayılı Tüzükleri ve 2013/179/EU sayılı Komisyon Tavsiyesi </w:t>
              </w:r>
            </w:hyperlink>
            <w:hyperlink r:id="rId72" w:anchor="ntr57-L_2020198EN.01001301-E0057"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57</w:t>
              </w:r>
              <w:r w:rsidRPr="001C701D">
                <w:rPr>
                  <w:rFonts w:ascii="Times New Roman" w:eastAsia="Times New Roman" w:hAnsi="Times New Roman" w:cs="Times New Roman"/>
                  <w:color w:val="0E47CB"/>
                  <w:sz w:val="24"/>
                  <w:szCs w:val="24"/>
                  <w:lang w:eastAsia="tr-TR"/>
                </w:rPr>
                <w:t xml:space="preserve"> ) ve 16 Temmuz 2018 tarihli 'Daha iyi bir çevre için kamu alımları' konulu Komisyon bildirisi de </w:t>
              </w:r>
              <w:proofErr w:type="gramStart"/>
              <w:r w:rsidRPr="001C701D">
                <w:rPr>
                  <w:rFonts w:ascii="Times New Roman" w:eastAsia="Times New Roman" w:hAnsi="Times New Roman" w:cs="Times New Roman"/>
                  <w:color w:val="0E47CB"/>
                  <w:sz w:val="24"/>
                  <w:szCs w:val="24"/>
                  <w:lang w:eastAsia="tr-TR"/>
                </w:rPr>
                <w:t>dahil</w:t>
              </w:r>
              <w:proofErr w:type="gramEnd"/>
              <w:r w:rsidRPr="001C701D">
                <w:rPr>
                  <w:rFonts w:ascii="Times New Roman" w:eastAsia="Times New Roman" w:hAnsi="Times New Roman" w:cs="Times New Roman"/>
                  <w:color w:val="0E47CB"/>
                  <w:sz w:val="24"/>
                  <w:szCs w:val="24"/>
                  <w:lang w:eastAsia="tr-TR"/>
                </w:rPr>
                <w:t xml:space="preserve"> olmak üzere ilgili Birlik hukukunu dikkate almalıdır. Diğer amaçlar için </w:t>
              </w:r>
              <w:proofErr w:type="gramStart"/>
              <w:r w:rsidRPr="001C701D">
                <w:rPr>
                  <w:rFonts w:ascii="Times New Roman" w:eastAsia="Times New Roman" w:hAnsi="Times New Roman" w:cs="Times New Roman"/>
                  <w:color w:val="0E47CB"/>
                  <w:sz w:val="24"/>
                  <w:szCs w:val="24"/>
                  <w:lang w:eastAsia="tr-TR"/>
                </w:rPr>
                <w:t>halihazırda</w:t>
              </w:r>
              <w:proofErr w:type="gramEnd"/>
              <w:r w:rsidRPr="001C701D">
                <w:rPr>
                  <w:rFonts w:ascii="Times New Roman" w:eastAsia="Times New Roman" w:hAnsi="Times New Roman" w:cs="Times New Roman"/>
                  <w:color w:val="0E47CB"/>
                  <w:sz w:val="24"/>
                  <w:szCs w:val="24"/>
                  <w:lang w:eastAsia="tr-TR"/>
                </w:rPr>
                <w:t xml:space="preserve"> mevcut olan ekonomik faaliyet sınıflandırmalarıyla gereksiz tutarsızlıklardan kaçınmak için Komisyon, Avrupa Parlamentosu ve Konseyinin (EU) No 538/2014 sayılı Tüzüğünde </w:t>
              </w:r>
            </w:hyperlink>
            <w:hyperlink r:id="rId73" w:anchor="ntr58-L_2020198EN.01001301-E0058"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58)</w:t>
              </w:r>
            </w:hyperlink>
            <w:r w:rsidRPr="001C701D">
              <w:rPr>
                <w:rFonts w:ascii="Times New Roman" w:eastAsia="Times New Roman" w:hAnsi="Times New Roman" w:cs="Times New Roman"/>
                <w:sz w:val="24"/>
                <w:szCs w:val="24"/>
                <w:lang w:eastAsia="tr-TR"/>
              </w:rPr>
              <w:t> yer alan çevresel mal ve hizmet sektörüne ilişkin istatistiksel sınıflandırmaları, yani çevre koruma faaliyetlerinin sınıflandırılmasını (CEPA) ve kaynak yönetimi faaliyetlerinin sınıflandırılmasını (</w:t>
            </w:r>
            <w:proofErr w:type="spellStart"/>
            <w:r w:rsidRPr="001C701D">
              <w:rPr>
                <w:rFonts w:ascii="Times New Roman" w:eastAsia="Times New Roman" w:hAnsi="Times New Roman" w:cs="Times New Roman"/>
                <w:sz w:val="24"/>
                <w:szCs w:val="24"/>
                <w:lang w:eastAsia="tr-TR"/>
              </w:rPr>
              <w:t>CReMA</w:t>
            </w:r>
            <w:proofErr w:type="spellEnd"/>
            <w:r w:rsidRPr="001C701D">
              <w:rPr>
                <w:rFonts w:ascii="Times New Roman" w:eastAsia="Times New Roman" w:hAnsi="Times New Roman" w:cs="Times New Roman"/>
                <w:sz w:val="24"/>
                <w:szCs w:val="24"/>
                <w:lang w:eastAsia="tr-TR"/>
              </w:rPr>
              <w:t>) da dikkate  </w:t>
            </w:r>
            <w:hyperlink r:id="rId74" w:anchor="ntr58-L_2020198EN.01001301-E0058" w:history="1">
              <w:r w:rsidRPr="001C701D">
                <w:rPr>
                  <w:rFonts w:ascii="Times New Roman" w:eastAsia="Times New Roman" w:hAnsi="Times New Roman" w:cs="Times New Roman"/>
                  <w:color w:val="0E47CB"/>
                  <w:sz w:val="24"/>
                  <w:szCs w:val="24"/>
                  <w:lang w:eastAsia="tr-TR"/>
                </w:rPr>
                <w:t>almalıdır</w:t>
              </w:r>
            </w:hyperlink>
            <w:r w:rsidRPr="001C701D">
              <w:rPr>
                <w:rFonts w:ascii="Times New Roman" w:eastAsia="Times New Roman" w:hAnsi="Times New Roman" w:cs="Times New Roman"/>
                <w:sz w:val="24"/>
                <w:szCs w:val="24"/>
                <w:lang w:eastAsia="tr-TR"/>
              </w:rPr>
              <w:t xml:space="preserve"> . Komisyon, teknik tarama </w:t>
            </w:r>
            <w:proofErr w:type="gramStart"/>
            <w:r w:rsidRPr="001C701D">
              <w:rPr>
                <w:rFonts w:ascii="Times New Roman" w:eastAsia="Times New Roman" w:hAnsi="Times New Roman" w:cs="Times New Roman"/>
                <w:sz w:val="24"/>
                <w:szCs w:val="24"/>
                <w:lang w:eastAsia="tr-TR"/>
              </w:rPr>
              <w:t>kriterlerini</w:t>
            </w:r>
            <w:proofErr w:type="gramEnd"/>
            <w:r w:rsidRPr="001C701D">
              <w:rPr>
                <w:rFonts w:ascii="Times New Roman" w:eastAsia="Times New Roman" w:hAnsi="Times New Roman" w:cs="Times New Roman"/>
                <w:sz w:val="24"/>
                <w:szCs w:val="24"/>
                <w:lang w:eastAsia="tr-TR"/>
              </w:rPr>
              <w:t xml:space="preserve"> belirlerken ve güncellerken, başta Komisyon ve Avrupa Çevre Ajansı olmak üzere diğer kuruluşlar tarafından geliştirilen mevcut çevresel göstergeleri ve raporlama çerçevelerini ve OECD gibi diğer kuruluşlar tarafından geliştirilen mevcut uluslararası standartları dikkate almalıdır.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(44)</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Komisyon, teknik tarama </w:t>
            </w:r>
            <w:proofErr w:type="gramStart"/>
            <w:r w:rsidRPr="001C701D">
              <w:rPr>
                <w:rFonts w:ascii="Times New Roman" w:eastAsia="Times New Roman" w:hAnsi="Times New Roman" w:cs="Times New Roman"/>
                <w:sz w:val="24"/>
                <w:szCs w:val="24"/>
                <w:lang w:eastAsia="tr-TR"/>
              </w:rPr>
              <w:t>kriterlerini</w:t>
            </w:r>
            <w:proofErr w:type="gramEnd"/>
            <w:r w:rsidRPr="001C701D">
              <w:rPr>
                <w:rFonts w:ascii="Times New Roman" w:eastAsia="Times New Roman" w:hAnsi="Times New Roman" w:cs="Times New Roman"/>
                <w:sz w:val="24"/>
                <w:szCs w:val="24"/>
                <w:lang w:eastAsia="tr-TR"/>
              </w:rPr>
              <w:t xml:space="preserve"> oluştururken ve güncellerken altyapı sektörünün özelliklerini de dikkate almalı ve maliyet-fayda analizi kapsamında çevresel, sosyal ve ekonomik dışsallıkları göz önünde bulundurmalıdır. Bu bağlamda Komisyon, Avrupa Parlamentosu ve Konseyinin 2001/42/EC  </w:t>
            </w:r>
            <w:hyperlink r:id="rId75" w:anchor="ntr59-L_2020198EN.01001301-E0059"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59</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2011/92/EU  </w:t>
            </w:r>
            <w:hyperlink r:id="rId76" w:anchor="ntr60-L_2020198EN.01001301-E0060"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60</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2014/23/EU  </w:t>
            </w:r>
            <w:hyperlink r:id="rId77" w:anchor="ntr61-L_2020198EN.01001301-E0061"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61</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2014/24/EU  </w:t>
            </w:r>
            <w:hyperlink r:id="rId78" w:anchor="ntr62-L_2020198EN.01001301-E0062"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62</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ve 2014/25/EU  </w:t>
            </w:r>
            <w:hyperlink r:id="rId79" w:anchor="ntr63-L_2020198EN.01001301-E0063"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63</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xml:space="preserve"> Direktifleri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ilgili Birlik hukukunu, standartları ve güncel metodolojiyi ve OECD gibi uluslararası kuruluşların çalışmalarını dikkate almalıdır. Bu bağlamda teknik tarama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bir projenin yaşam döngüsünün tüm aşamalarında Birleşmiş Milletler tarafından desteklenen Sorumlu Yatırım İlkeleri'nde belirtildiği gibi çevresel, sosyal ve yönetişim faktörlerini bütünleştiren uygun yönetişim çerçevelerini teşvik etmelidir.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(45)</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Teknik tarama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belirli bir sektördeki ilgili ekonomik faaliyetlerin çevresel olarak sürdürülebilir olarak nitelendirilebilmesini ve bu Yönetmelikte belirtilen çevresel hedeflerden bir veya daha fazlasına eşit katkıda bulunmaları halinde eşit muamele </w:t>
            </w:r>
            <w:r w:rsidRPr="001C701D">
              <w:rPr>
                <w:rFonts w:ascii="Times New Roman" w:eastAsia="Times New Roman" w:hAnsi="Times New Roman" w:cs="Times New Roman"/>
                <w:sz w:val="24"/>
                <w:szCs w:val="24"/>
                <w:lang w:eastAsia="tr-TR"/>
              </w:rPr>
              <w:lastRenderedPageBreak/>
              <w:t xml:space="preserve">görmelerini sağlamalıdır. Bu çevresel hedeflere katkıda bulunma potansiyeli sektörler arasında farklılık gösterebilir ve bu durum bu </w:t>
            </w:r>
            <w:proofErr w:type="gramStart"/>
            <w:r w:rsidRPr="001C701D">
              <w:rPr>
                <w:rFonts w:ascii="Times New Roman" w:eastAsia="Times New Roman" w:hAnsi="Times New Roman" w:cs="Times New Roman"/>
                <w:sz w:val="24"/>
                <w:szCs w:val="24"/>
                <w:lang w:eastAsia="tr-TR"/>
              </w:rPr>
              <w:t>kriterlere</w:t>
            </w:r>
            <w:proofErr w:type="gramEnd"/>
            <w:r w:rsidRPr="001C701D">
              <w:rPr>
                <w:rFonts w:ascii="Times New Roman" w:eastAsia="Times New Roman" w:hAnsi="Times New Roman" w:cs="Times New Roman"/>
                <w:sz w:val="24"/>
                <w:szCs w:val="24"/>
                <w:lang w:eastAsia="tr-TR"/>
              </w:rPr>
              <w:t xml:space="preserve"> yansıtılmalıdır. Ancak, her sektör içinde, söz konusu </w:t>
            </w:r>
            <w:proofErr w:type="gramStart"/>
            <w:r w:rsidRPr="001C701D">
              <w:rPr>
                <w:rFonts w:ascii="Times New Roman" w:eastAsia="Times New Roman" w:hAnsi="Times New Roman" w:cs="Times New Roman"/>
                <w:sz w:val="24"/>
                <w:szCs w:val="24"/>
                <w:lang w:eastAsia="tr-TR"/>
              </w:rPr>
              <w:t>kriterler</w:t>
            </w:r>
            <w:proofErr w:type="gramEnd"/>
            <w:r w:rsidRPr="001C701D">
              <w:rPr>
                <w:rFonts w:ascii="Times New Roman" w:eastAsia="Times New Roman" w:hAnsi="Times New Roman" w:cs="Times New Roman"/>
                <w:sz w:val="24"/>
                <w:szCs w:val="24"/>
                <w:lang w:eastAsia="tr-TR"/>
              </w:rPr>
              <w:t>, belirli ekonomik faaliyetlerin çevresel hedeflere diğerleriyle aynı ölçüde katkıda bulunması durumunda, diğerlerine göre haksız yere dezavantajlı duruma düşmemelidir.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(46)</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Komisyon, çevresel açıdan sürdürülebilir faaliyetler için teknik tarama </w:t>
            </w:r>
            <w:proofErr w:type="gramStart"/>
            <w:r w:rsidRPr="001C701D">
              <w:rPr>
                <w:rFonts w:ascii="Times New Roman" w:eastAsia="Times New Roman" w:hAnsi="Times New Roman" w:cs="Times New Roman"/>
                <w:sz w:val="24"/>
                <w:szCs w:val="24"/>
                <w:lang w:eastAsia="tr-TR"/>
              </w:rPr>
              <w:t>kriterlerini</w:t>
            </w:r>
            <w:proofErr w:type="gramEnd"/>
            <w:r w:rsidRPr="001C701D">
              <w:rPr>
                <w:rFonts w:ascii="Times New Roman" w:eastAsia="Times New Roman" w:hAnsi="Times New Roman" w:cs="Times New Roman"/>
                <w:sz w:val="24"/>
                <w:szCs w:val="24"/>
                <w:lang w:eastAsia="tr-TR"/>
              </w:rPr>
              <w:t xml:space="preserve"> belirlerken ve güncellerken, bu kriterlerin belirlenmesinin varlıkların değer kaybetmesine yol açıp açmayacağını, tutarsız teşviklerle sonuçlanıp sonuçlanmayacağını veya finansal piyasalar üzerinde başka olumsuz bir etki yaratıp yaratmayacağını değerlendirmelidir.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(47)</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Ekonomik operatörler için aşırı külfetli uyum maliyetlerinden kaçınmak amacıyla Komisyon, yeterli yasal netlik sağlayan, uygulanabilir ve uygulanması kolay ve uyumluluğun makul uyum maliyeti sınırları </w:t>
            </w:r>
            <w:proofErr w:type="gramStart"/>
            <w:r w:rsidRPr="001C701D">
              <w:rPr>
                <w:rFonts w:ascii="Times New Roman" w:eastAsia="Times New Roman" w:hAnsi="Times New Roman" w:cs="Times New Roman"/>
                <w:sz w:val="24"/>
                <w:szCs w:val="24"/>
                <w:lang w:eastAsia="tr-TR"/>
              </w:rPr>
              <w:t>dahilinde</w:t>
            </w:r>
            <w:proofErr w:type="gramEnd"/>
            <w:r w:rsidRPr="001C701D">
              <w:rPr>
                <w:rFonts w:ascii="Times New Roman" w:eastAsia="Times New Roman" w:hAnsi="Times New Roman" w:cs="Times New Roman"/>
                <w:sz w:val="24"/>
                <w:szCs w:val="24"/>
                <w:lang w:eastAsia="tr-TR"/>
              </w:rPr>
              <w:t xml:space="preserve"> doğrulanabileceği teknik tarama kriterleri oluşturmalı ve böylece gereksiz idari yüklerden kaçınılmalıdır. Teknik tarama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yeterince uygulanabilir ve gerekli olduğu durumlarda bir yaşam döngüsü değerlendirmesi yapılmasını gerektirebilir.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(48)</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Yatırımların çevresel hedeflere en fazla olumlu etkiyi yapan ekonomik faaliyetlere yönlendirilmesini sağlamak amacıyla, Komisyon, çevresel hedeflere potansiyel olarak en fazla katkıda bulunacak ekonomik faaliyetler için teknik tarama </w:t>
            </w:r>
            <w:proofErr w:type="gramStart"/>
            <w:r w:rsidRPr="001C701D">
              <w:rPr>
                <w:rFonts w:ascii="Times New Roman" w:eastAsia="Times New Roman" w:hAnsi="Times New Roman" w:cs="Times New Roman"/>
                <w:sz w:val="24"/>
                <w:szCs w:val="24"/>
                <w:lang w:eastAsia="tr-TR"/>
              </w:rPr>
              <w:t>kriterlerinin</w:t>
            </w:r>
            <w:proofErr w:type="gramEnd"/>
            <w:r w:rsidRPr="001C701D">
              <w:rPr>
                <w:rFonts w:ascii="Times New Roman" w:eastAsia="Times New Roman" w:hAnsi="Times New Roman" w:cs="Times New Roman"/>
                <w:sz w:val="24"/>
                <w:szCs w:val="24"/>
                <w:lang w:eastAsia="tr-TR"/>
              </w:rPr>
              <w:t xml:space="preserve"> oluşturulmasına öncelik vermelidir.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(49)</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Mobil varlıklar da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ulaştırma sektörü için uygun teknik tarama kriterleri belirlenmelidir. Bu tarama kriterleri, uluslararası nakliye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ulaştırma sektörünün </w:t>
            </w:r>
            <w:proofErr w:type="spellStart"/>
            <w:r w:rsidRPr="001C701D">
              <w:rPr>
                <w:rFonts w:ascii="Times New Roman" w:eastAsia="Times New Roman" w:hAnsi="Times New Roman" w:cs="Times New Roman"/>
                <w:sz w:val="24"/>
                <w:szCs w:val="24"/>
                <w:lang w:eastAsia="tr-TR"/>
              </w:rPr>
              <w:t>Birlik'teki</w:t>
            </w:r>
            <w:proofErr w:type="spellEnd"/>
            <w:r w:rsidRPr="001C701D">
              <w:rPr>
                <w:rFonts w:ascii="Times New Roman" w:eastAsia="Times New Roman" w:hAnsi="Times New Roman" w:cs="Times New Roman"/>
                <w:sz w:val="24"/>
                <w:szCs w:val="24"/>
                <w:lang w:eastAsia="tr-TR"/>
              </w:rPr>
              <w:t xml:space="preserve"> toplam sera gazı emisyonlarının yaklaşık %26'sına katkıda bulunduğu gerçeğini dikkate almalıdır. Sürdürülebilir Büyümenin Finansmanı Eylem Planı'nda belirtildiği gibi, ulaştırma sektörü, </w:t>
            </w:r>
            <w:proofErr w:type="spellStart"/>
            <w:r w:rsidRPr="001C701D">
              <w:rPr>
                <w:rFonts w:ascii="Times New Roman" w:eastAsia="Times New Roman" w:hAnsi="Times New Roman" w:cs="Times New Roman"/>
                <w:sz w:val="24"/>
                <w:szCs w:val="24"/>
                <w:lang w:eastAsia="tr-TR"/>
              </w:rPr>
              <w:t>Birlik'te</w:t>
            </w:r>
            <w:proofErr w:type="spellEnd"/>
            <w:r w:rsidRPr="001C701D">
              <w:rPr>
                <w:rFonts w:ascii="Times New Roman" w:eastAsia="Times New Roman" w:hAnsi="Times New Roman" w:cs="Times New Roman"/>
                <w:sz w:val="24"/>
                <w:szCs w:val="24"/>
                <w:lang w:eastAsia="tr-TR"/>
              </w:rPr>
              <w:t xml:space="preserve"> sürdürülebilir kalkınma için gereken ek yıllık yatırımın yaklaşık %30'unu temsil etmektedir; örneğin, elektrifikasyonu artırmak veya </w:t>
            </w:r>
            <w:proofErr w:type="spellStart"/>
            <w:r w:rsidRPr="001C701D">
              <w:rPr>
                <w:rFonts w:ascii="Times New Roman" w:eastAsia="Times New Roman" w:hAnsi="Times New Roman" w:cs="Times New Roman"/>
                <w:sz w:val="24"/>
                <w:szCs w:val="24"/>
                <w:lang w:eastAsia="tr-TR"/>
              </w:rPr>
              <w:t>mod</w:t>
            </w:r>
            <w:proofErr w:type="spellEnd"/>
            <w:r w:rsidRPr="001C701D">
              <w:rPr>
                <w:rFonts w:ascii="Times New Roman" w:eastAsia="Times New Roman" w:hAnsi="Times New Roman" w:cs="Times New Roman"/>
                <w:sz w:val="24"/>
                <w:szCs w:val="24"/>
                <w:lang w:eastAsia="tr-TR"/>
              </w:rPr>
              <w:t xml:space="preserve"> değişimini ve daha iyi trafik yönetimini teşvik ederek daha temiz ulaşım yöntemlerine geçişi desteklemek.</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(50)</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Teknik tarama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geliştirilirken, Komisyon'un Daha İyi Düzenleme Gündemi doğrultusunda uygun istişarelerde bulunması özellikle önemlidir. Teknik tarama </w:t>
            </w:r>
            <w:proofErr w:type="gramStart"/>
            <w:r w:rsidRPr="001C701D">
              <w:rPr>
                <w:rFonts w:ascii="Times New Roman" w:eastAsia="Times New Roman" w:hAnsi="Times New Roman" w:cs="Times New Roman"/>
                <w:sz w:val="24"/>
                <w:szCs w:val="24"/>
                <w:lang w:eastAsia="tr-TR"/>
              </w:rPr>
              <w:t>kriterlerinin</w:t>
            </w:r>
            <w:proofErr w:type="gramEnd"/>
            <w:r w:rsidRPr="001C701D">
              <w:rPr>
                <w:rFonts w:ascii="Times New Roman" w:eastAsia="Times New Roman" w:hAnsi="Times New Roman" w:cs="Times New Roman"/>
                <w:sz w:val="24"/>
                <w:szCs w:val="24"/>
                <w:lang w:eastAsia="tr-TR"/>
              </w:rPr>
              <w:t xml:space="preserve"> oluşturulması ve güncellenmesi süreci ilgili paydaşları içermeli ve ilgili alanlarda kanıtlanmış bilgi ve deneyime sahip uzmanların tavsiyelerine dayanmalıdır. Bu amaçla Komisyon, Sürdürülebilir Finansman Platformu ("Platform") kurmalıdır. Platform, hem kamu hem de özel sektörü temsil eden uzmanlardan oluşmalıdır. Kamu sektörü uzmanları arasında Avrupa Çevre Ajansı, Çevresel ve Sosyal Yardım Kuruluşları (ESA), Avrupa Yatırım Bankası ve Avrupa Birliği Temel Haklar Ajansı temsilcileri yer almalıdır. Özel sektör uzmanları arasında ise ilgili sektörleri temsil eden finansal ve finansal olmayan piyasa katılımcılarının ve iş sektörlerinin temsilcileri ile muhasebe ve raporlama konusunda uzman kişiler yer almalıdır. Platform ayrıca, çevresel, sosyal, işgücü ve yönetişim alanlarındaki uzmanlar da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sivil toplumu temsil eden uzmanları da içermelidir. Mali piyasa katılımcıları, teknik tarama </w:t>
            </w:r>
            <w:proofErr w:type="gramStart"/>
            <w:r w:rsidRPr="001C701D">
              <w:rPr>
                <w:rFonts w:ascii="Times New Roman" w:eastAsia="Times New Roman" w:hAnsi="Times New Roman" w:cs="Times New Roman"/>
                <w:sz w:val="24"/>
                <w:szCs w:val="24"/>
                <w:lang w:eastAsia="tr-TR"/>
              </w:rPr>
              <w:t>kriterlerini</w:t>
            </w:r>
            <w:proofErr w:type="gramEnd"/>
            <w:r w:rsidRPr="001C701D">
              <w:rPr>
                <w:rFonts w:ascii="Times New Roman" w:eastAsia="Times New Roman" w:hAnsi="Times New Roman" w:cs="Times New Roman"/>
                <w:sz w:val="24"/>
                <w:szCs w:val="24"/>
                <w:lang w:eastAsia="tr-TR"/>
              </w:rPr>
              <w:t xml:space="preserve"> karşılamayan veya bu kriterler henüz oluşturulmamış bir ekonomik faaliyetin çevresel olarak sürdürülebilir olarak nitelendirilmesi gerektiğini düşünmeleri halinde, Komisyonu bilgilendirmeye teşvik </w:t>
            </w:r>
            <w:r w:rsidRPr="001C701D">
              <w:rPr>
                <w:rFonts w:ascii="Times New Roman" w:eastAsia="Times New Roman" w:hAnsi="Times New Roman" w:cs="Times New Roman"/>
                <w:sz w:val="24"/>
                <w:szCs w:val="24"/>
                <w:lang w:eastAsia="tr-TR"/>
              </w:rPr>
              <w:lastRenderedPageBreak/>
              <w:t xml:space="preserve">edilmelidir. Bu, Komisyonun teknik tarama </w:t>
            </w:r>
            <w:proofErr w:type="gramStart"/>
            <w:r w:rsidRPr="001C701D">
              <w:rPr>
                <w:rFonts w:ascii="Times New Roman" w:eastAsia="Times New Roman" w:hAnsi="Times New Roman" w:cs="Times New Roman"/>
                <w:sz w:val="24"/>
                <w:szCs w:val="24"/>
                <w:lang w:eastAsia="tr-TR"/>
              </w:rPr>
              <w:t>kriterlerini</w:t>
            </w:r>
            <w:proofErr w:type="gramEnd"/>
            <w:r w:rsidRPr="001C701D">
              <w:rPr>
                <w:rFonts w:ascii="Times New Roman" w:eastAsia="Times New Roman" w:hAnsi="Times New Roman" w:cs="Times New Roman"/>
                <w:sz w:val="24"/>
                <w:szCs w:val="24"/>
                <w:lang w:eastAsia="tr-TR"/>
              </w:rPr>
              <w:t xml:space="preserve"> tamamlama veya güncelleme konusundaki uygunluğunu değerlendirmesine yardımcı olmak amacıyla yapılmalıdır.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(51)</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Platform, seçim süreci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Komisyon uzman gruplarının oluşturulması ve işletilmesine ilişkin geçerli yatay kurallara uygun olarak oluşturulmalıdır. Seçim süreci, Platformun özel görevleri de dikkate alınarak, yüksek düzeyde uzmanlık, coğrafi ve cinsiyet dengesi ve ilgili bilgi birikiminin dengeli bir şekilde temsil edilmesini sağlamayı hedeflemelidir. Seçim süreci sırasında Komisyon, olası çıkar çatışmalarının olup olmadığını belirlemek için bu yatay kurallara uygun bir değerlendirme yapmalı ve bu tür çatışmaları çözmek için uygun önlemleri almalıdır.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(52)</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Platform, mevcut piyasa uygulamaları kapsamında çevresel olarak sürdürülebilir varlık olarak nitelendirilen varlıkların değerlemesi üzerindeki potansiyel etkisi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teknik tarama kriterlerinin geliştirilmesi, analizi ve gözden geçirilmesi konusunda Komisyona tavsiyelerde bulunmalıdır. Platform ayrıca, teknik tarama </w:t>
            </w:r>
            <w:proofErr w:type="gramStart"/>
            <w:r w:rsidRPr="001C701D">
              <w:rPr>
                <w:rFonts w:ascii="Times New Roman" w:eastAsia="Times New Roman" w:hAnsi="Times New Roman" w:cs="Times New Roman"/>
                <w:sz w:val="24"/>
                <w:szCs w:val="24"/>
                <w:lang w:eastAsia="tr-TR"/>
              </w:rPr>
              <w:t>kriterlerinin</w:t>
            </w:r>
            <w:proofErr w:type="gramEnd"/>
            <w:r w:rsidRPr="001C701D">
              <w:rPr>
                <w:rFonts w:ascii="Times New Roman" w:eastAsia="Times New Roman" w:hAnsi="Times New Roman" w:cs="Times New Roman"/>
                <w:sz w:val="24"/>
                <w:szCs w:val="24"/>
                <w:lang w:eastAsia="tr-TR"/>
              </w:rPr>
              <w:t xml:space="preserve"> sürdürülebilir yatırımı kolaylaştırmayı amaçlayan gelecekteki Birlik politika girişimlerinde kullanılmaya uygun olup olmadığı ve sürdürülebilirlik muhasebe ve raporlama standartlarının teknik tarama kriterlerinin uygulanmasını desteklemedeki olası rolü konusunda Komisyona tavsiyelerde bulunmalıdır. Platform, gereksiz idari yükten kaçınma amacını göz önünde bulundurarak, veri kullanılabilirliğini ve kalitesini iyileştirmek için daha fazla önlem geliştirilmesi, sosyal hedefler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diğer sürdürülebilirlik hedeflerine ulaşılması ve asgari güvencelerin işleyişi ve bunları tamamlama ihtiyacı konusunda Komisyona tavsiyelerde bulunmalıdır.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(53)</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Komisyon, mevcut Sürdürülebilir Finansman Üye Devlet Uzman Grubu'nu sürdürmeli ve ona resmi bir statü kazandırmalıdır. Bu uzman grubunun görevleri, diğerlerinin yanı sıra, Komisyon'a teknik tarama </w:t>
            </w:r>
            <w:proofErr w:type="gramStart"/>
            <w:r w:rsidRPr="001C701D">
              <w:rPr>
                <w:rFonts w:ascii="Times New Roman" w:eastAsia="Times New Roman" w:hAnsi="Times New Roman" w:cs="Times New Roman"/>
                <w:sz w:val="24"/>
                <w:szCs w:val="24"/>
                <w:lang w:eastAsia="tr-TR"/>
              </w:rPr>
              <w:t>kriterlerinin</w:t>
            </w:r>
            <w:proofErr w:type="gramEnd"/>
            <w:r w:rsidRPr="001C701D">
              <w:rPr>
                <w:rFonts w:ascii="Times New Roman" w:eastAsia="Times New Roman" w:hAnsi="Times New Roman" w:cs="Times New Roman"/>
                <w:sz w:val="24"/>
                <w:szCs w:val="24"/>
                <w:lang w:eastAsia="tr-TR"/>
              </w:rPr>
              <w:t xml:space="preserve"> uygunluğu ve </w:t>
            </w:r>
            <w:proofErr w:type="spellStart"/>
            <w:r w:rsidRPr="001C701D">
              <w:rPr>
                <w:rFonts w:ascii="Times New Roman" w:eastAsia="Times New Roman" w:hAnsi="Times New Roman" w:cs="Times New Roman"/>
                <w:sz w:val="24"/>
                <w:szCs w:val="24"/>
                <w:lang w:eastAsia="tr-TR"/>
              </w:rPr>
              <w:t>Platform'un</w:t>
            </w:r>
            <w:proofErr w:type="spellEnd"/>
            <w:r w:rsidRPr="001C701D">
              <w:rPr>
                <w:rFonts w:ascii="Times New Roman" w:eastAsia="Times New Roman" w:hAnsi="Times New Roman" w:cs="Times New Roman"/>
                <w:sz w:val="24"/>
                <w:szCs w:val="24"/>
                <w:lang w:eastAsia="tr-TR"/>
              </w:rPr>
              <w:t xml:space="preserve"> bu kriterleri geliştirme konusundaki yaklaşımı konusunda tavsiyelerde bulunmaktan oluşacaktır. Bu amaçla Komisyon, Sürdürülebilir Finansman Üye Devlet Uzman Grubu'nun düzenli toplantıları aracılığıyla Üye Devletleri bilgilendirmelidir.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(54)</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Yönetmelikte belirtilen gereklilikleri belirlemek ve özellikle farklı ekonomik faaliyetler için çevresel hedeflere 'önemli katkı' ve 'önemli zarar' teşkil eden hususlara ilişkin ayrıntılı ve kalibre edilmiş teknik tarama </w:t>
            </w:r>
            <w:proofErr w:type="gramStart"/>
            <w:r w:rsidRPr="001C701D">
              <w:rPr>
                <w:rFonts w:ascii="Times New Roman" w:eastAsia="Times New Roman" w:hAnsi="Times New Roman" w:cs="Times New Roman"/>
                <w:sz w:val="24"/>
                <w:szCs w:val="24"/>
                <w:lang w:eastAsia="tr-TR"/>
              </w:rPr>
              <w:t>kriterlerini</w:t>
            </w:r>
            <w:proofErr w:type="gramEnd"/>
            <w:r w:rsidRPr="001C701D">
              <w:rPr>
                <w:rFonts w:ascii="Times New Roman" w:eastAsia="Times New Roman" w:hAnsi="Times New Roman" w:cs="Times New Roman"/>
                <w:sz w:val="24"/>
                <w:szCs w:val="24"/>
                <w:lang w:eastAsia="tr-TR"/>
              </w:rPr>
              <w:t xml:space="preserve"> oluşturmak ve güncellemek amacıyla, </w:t>
            </w:r>
            <w:proofErr w:type="spellStart"/>
            <w:r w:rsidRPr="001C701D">
              <w:rPr>
                <w:rFonts w:ascii="Times New Roman" w:eastAsia="Times New Roman" w:hAnsi="Times New Roman" w:cs="Times New Roman"/>
                <w:sz w:val="24"/>
                <w:szCs w:val="24"/>
                <w:lang w:eastAsia="tr-TR"/>
              </w:rPr>
              <w:t>TFEU'nun</w:t>
            </w:r>
            <w:proofErr w:type="spellEnd"/>
            <w:r w:rsidRPr="001C701D">
              <w:rPr>
                <w:rFonts w:ascii="Times New Roman" w:eastAsia="Times New Roman" w:hAnsi="Times New Roman" w:cs="Times New Roman"/>
                <w:sz w:val="24"/>
                <w:szCs w:val="24"/>
                <w:lang w:eastAsia="tr-TR"/>
              </w:rPr>
              <w:t xml:space="preserve"> 290. maddesi uyarınca eylemlerde bulunma yetkisi, bu Yönetmelik uyarınca ifşa yükümlülüklerine uymak için gereken bilgiler ve teknik tarama kriterleri bakımından Komisyona devredilmelidir. Komisyonun hazırlık çalışmaları sırasında, Platform ve Sürdürülebilir Finansman konusunda Üye Devlet Uzman Grubu gibi uzman düzeyinde de dahil olmak üzere uygun istişarelerde bulunması ve bu istişarelerin 13 Nisan 2016 tarihli Daha İyi Mevzuat Yapımına İlişkin </w:t>
            </w:r>
            <w:proofErr w:type="spellStart"/>
            <w:r w:rsidRPr="001C701D">
              <w:rPr>
                <w:rFonts w:ascii="Times New Roman" w:eastAsia="Times New Roman" w:hAnsi="Times New Roman" w:cs="Times New Roman"/>
                <w:sz w:val="24"/>
                <w:szCs w:val="24"/>
                <w:lang w:eastAsia="tr-TR"/>
              </w:rPr>
              <w:t>Kurumlararası</w:t>
            </w:r>
            <w:proofErr w:type="spellEnd"/>
            <w:r w:rsidRPr="001C701D">
              <w:rPr>
                <w:rFonts w:ascii="Times New Roman" w:eastAsia="Times New Roman" w:hAnsi="Times New Roman" w:cs="Times New Roman"/>
                <w:sz w:val="24"/>
                <w:szCs w:val="24"/>
                <w:lang w:eastAsia="tr-TR"/>
              </w:rPr>
              <w:t xml:space="preserve"> </w:t>
            </w:r>
            <w:proofErr w:type="spellStart"/>
            <w:r w:rsidRPr="001C701D">
              <w:rPr>
                <w:rFonts w:ascii="Times New Roman" w:eastAsia="Times New Roman" w:hAnsi="Times New Roman" w:cs="Times New Roman"/>
                <w:sz w:val="24"/>
                <w:szCs w:val="24"/>
                <w:lang w:eastAsia="tr-TR"/>
              </w:rPr>
              <w:t>Anlaşma'da</w:t>
            </w:r>
            <w:proofErr w:type="spellEnd"/>
            <w:r w:rsidRPr="001C701D">
              <w:rPr>
                <w:rFonts w:ascii="Times New Roman" w:eastAsia="Times New Roman" w:hAnsi="Times New Roman" w:cs="Times New Roman"/>
                <w:sz w:val="24"/>
                <w:szCs w:val="24"/>
                <w:lang w:eastAsia="tr-TR"/>
              </w:rPr>
              <w:t>  </w:t>
            </w:r>
            <w:hyperlink r:id="rId80" w:anchor="ntr64-L_2020198EN.01001301-E0064"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64</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xml:space="preserve"> belirtilen ilkelere uygun olarak yürütülmesi özellikle </w:t>
            </w:r>
            <w:proofErr w:type="gramStart"/>
            <w:r w:rsidRPr="001C701D">
              <w:rPr>
                <w:rFonts w:ascii="Times New Roman" w:eastAsia="Times New Roman" w:hAnsi="Times New Roman" w:cs="Times New Roman"/>
                <w:sz w:val="24"/>
                <w:szCs w:val="24"/>
                <w:lang w:eastAsia="tr-TR"/>
              </w:rPr>
              <w:t>önemlidir .</w:t>
            </w:r>
            <w:proofErr w:type="gramEnd"/>
            <w:r w:rsidRPr="001C701D">
              <w:rPr>
                <w:rFonts w:ascii="Times New Roman" w:eastAsia="Times New Roman" w:hAnsi="Times New Roman" w:cs="Times New Roman"/>
                <w:sz w:val="24"/>
                <w:szCs w:val="24"/>
                <w:lang w:eastAsia="tr-TR"/>
              </w:rPr>
              <w:t xml:space="preserve"> Özellikle, devredilmiş tasarrufların hazırlanmasında eşit katılımın sağlanması amacıyla, Avrupa Parlamentosu ve Konsey, tüm belgeleri Üye Devletlerin uzmanlarıyla aynı anda alır ve bu ülkelerin uzmanları, devredilmiş tasarrufların hazırlanmasıyla ilgilenen Komisyon uzman gruplarının toplantılarına sistematik olarak erişebilir.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(55)</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Bu Yönetmelik, (AB) 2019/2088 sayılı Yönetmelikte belirtilen açıklama gerekliliklerini tamamlar. Finansal piyasa katılımcılarının bu Yönetmeliğe uyumunun düzenli ve etkili bir şekilde izlenmesini sağlamak için Üye Devletler, (AB) 2019/2088 sayılı Yönetmelik uyarınca belirlenen yetkili makamlara güvenmelidir. Uyumu sağlamak için Üye Devletler ayrıca etkili, orantılı ve caydırıcı olması gereken önlemler ve cezalar konusunda kurallar koymalıdır. Ulusal yetkili makamlar ve Avrupa Ekonomik Alanı (EAA)'</w:t>
            </w:r>
            <w:proofErr w:type="spellStart"/>
            <w:r w:rsidRPr="001C701D">
              <w:rPr>
                <w:rFonts w:ascii="Times New Roman" w:eastAsia="Times New Roman" w:hAnsi="Times New Roman" w:cs="Times New Roman"/>
                <w:sz w:val="24"/>
                <w:szCs w:val="24"/>
                <w:lang w:eastAsia="tr-TR"/>
              </w:rPr>
              <w:t>lar</w:t>
            </w:r>
            <w:proofErr w:type="spellEnd"/>
            <w:r w:rsidRPr="001C701D">
              <w:rPr>
                <w:rFonts w:ascii="Times New Roman" w:eastAsia="Times New Roman" w:hAnsi="Times New Roman" w:cs="Times New Roman"/>
                <w:sz w:val="24"/>
                <w:szCs w:val="24"/>
                <w:lang w:eastAsia="tr-TR"/>
              </w:rPr>
              <w:t>, Avrupa Parlamentosu ve Konseyinin (AB) No 600/2014  </w:t>
            </w:r>
            <w:hyperlink r:id="rId81" w:anchor="ntr65-L_2020198EN.01001301-E0065"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65</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 (AB) No 1286/2014  </w:t>
            </w:r>
            <w:hyperlink r:id="rId82" w:anchor="ntr66-L_2020198EN.01001301-E0066"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66</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ve (AB) 2019/1238  </w:t>
            </w:r>
            <w:hyperlink r:id="rId83" w:anchor="ntr67-L_2020198EN.01001301-E0067"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67</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xml:space="preserve"> sayılı Yönetmeliklerinde belirtilen ürün müdahale </w:t>
            </w:r>
            <w:proofErr w:type="gramStart"/>
            <w:r w:rsidRPr="001C701D">
              <w:rPr>
                <w:rFonts w:ascii="Times New Roman" w:eastAsia="Times New Roman" w:hAnsi="Times New Roman" w:cs="Times New Roman"/>
                <w:sz w:val="24"/>
                <w:szCs w:val="24"/>
                <w:lang w:eastAsia="tr-TR"/>
              </w:rPr>
              <w:t>yetkilerini , bu</w:t>
            </w:r>
            <w:proofErr w:type="gramEnd"/>
            <w:r w:rsidRPr="001C701D">
              <w:rPr>
                <w:rFonts w:ascii="Times New Roman" w:eastAsia="Times New Roman" w:hAnsi="Times New Roman" w:cs="Times New Roman"/>
                <w:sz w:val="24"/>
                <w:szCs w:val="24"/>
                <w:lang w:eastAsia="tr-TR"/>
              </w:rPr>
              <w:t xml:space="preserve"> Yönetmelik kapsamında gerekli olan bilgiler de dahil olmak üzere sürdürülebilirlikle ilgili bilgilerin yanıltıcı şekilde ifşa edilmesi veya yanıltıcı satış uygulamaları konusunda da kullanmalıdır.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(56)</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Platformun ve Sürdürülebilir Finansman konusunda Üye Devlet Uzman Grubunun çalışma ve toplantı uygulamalarının etkin ve sürdürülebilir bir şekilde organize edilmesini sağlamak ve gruplar, alt grupları, Komisyon ve paydaşlar arasında geniş katılım ve etkin etkileşimi mümkün kılmak amacıyla, uygun durumlarda sanal da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dijital teknolojilerin kullanımının artırılması dikkate alınmalıdır.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(57)</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İlgili aktörlere, bu Yönetmelikte belirtilen çevresel açıdan sürdürülebilir ekonomik faaliyetler olarak nitelendirilme </w:t>
            </w:r>
            <w:proofErr w:type="gramStart"/>
            <w:r w:rsidRPr="001C701D">
              <w:rPr>
                <w:rFonts w:ascii="Times New Roman" w:eastAsia="Times New Roman" w:hAnsi="Times New Roman" w:cs="Times New Roman"/>
                <w:sz w:val="24"/>
                <w:szCs w:val="24"/>
                <w:lang w:eastAsia="tr-TR"/>
              </w:rPr>
              <w:t>kriterlerini</w:t>
            </w:r>
            <w:proofErr w:type="gramEnd"/>
            <w:r w:rsidRPr="001C701D">
              <w:rPr>
                <w:rFonts w:ascii="Times New Roman" w:eastAsia="Times New Roman" w:hAnsi="Times New Roman" w:cs="Times New Roman"/>
                <w:sz w:val="24"/>
                <w:szCs w:val="24"/>
                <w:lang w:eastAsia="tr-TR"/>
              </w:rPr>
              <w:t xml:space="preserve"> tanımaları ve bunların uygulanmasına hazırlanmaları için yeterli zaman tanınması amacıyla, bu Yönetmelikte belirtilen yükümlülükler, ilgili teknik tarama kriterlerinin belirlenmesinden 12 ay sonra, her bir çevresel hedef için geçerli hale gelmelidir.</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(58)</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Yönetmelikte, bu Yönetmeliğin yürürlüğe girmesinden önce mevcut olan sertifika </w:t>
            </w:r>
            <w:proofErr w:type="gramStart"/>
            <w:r w:rsidRPr="001C701D">
              <w:rPr>
                <w:rFonts w:ascii="Times New Roman" w:eastAsia="Times New Roman" w:hAnsi="Times New Roman" w:cs="Times New Roman"/>
                <w:sz w:val="24"/>
                <w:szCs w:val="24"/>
                <w:lang w:eastAsia="tr-TR"/>
              </w:rPr>
              <w:t>bazlı</w:t>
            </w:r>
            <w:proofErr w:type="gramEnd"/>
            <w:r w:rsidRPr="001C701D">
              <w:rPr>
                <w:rFonts w:ascii="Times New Roman" w:eastAsia="Times New Roman" w:hAnsi="Times New Roman" w:cs="Times New Roman"/>
                <w:sz w:val="24"/>
                <w:szCs w:val="24"/>
                <w:lang w:eastAsia="tr-TR"/>
              </w:rPr>
              <w:t xml:space="preserve"> vergi teşvik düzenlemelerine ilişkin hüküm, Antlaşmalarda belirtildiği üzere, Birlik ve Üye Devletlerin vergi hükümlerine ilişkin ilgili yetkilerine halel getirmez.</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(59)</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Yönetmeliğin uygulanması, diğer hususların yanı sıra aşağıdakileri değerlendirmek amacıyla düzenli olarak gözden geçirilmelidir: çevresel olarak sürdürülebilir ekonomik faaliyetler için teknik tarama kriterlerinin geliştirilmesindeki ilerleme; bir ekonomik faaliyetin çevresel olarak sürdürülebilir olarak nitelendirilip nitelendirilmediğinin belirlenmesi için bu kriterlerin gözden geçirilmesi ve tamamlanmasına yönelik olası ihtiyaç; çevresel olarak sürdürülebilir ekonomik faaliyetler için sınıflandırma sisteminin, özel yatırımları bu tür faaliyetlere yönlendirmede ve özellikle sermayenin özel işletmelere ve diğer tüzel kişilere akışı açısından etkinliği; ve bu sınıflandırma sisteminin, kapsamını çevresel olarak sürdürülebilir ekonomik faaliyetlerin ötesine genişleterek, çevreye önemli ölçüde zarar veren faaliyetleri ve sosyal hedefler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diğer sürdürülebilirlik hedeflerini de kapsayacak şekilde daha da geliştirilmesi.</w:t>
            </w:r>
          </w:p>
        </w:tc>
      </w:tr>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(60)</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Tüzüğün hedeflerine Üye Devletler tarafından yeterli düzeyde ulaşılamayacağı, ancak çevresel açıdan sürdürülebilir ekonomik faaliyetler için Birlik düzeyinde tek tip </w:t>
            </w:r>
            <w:proofErr w:type="gramStart"/>
            <w:r w:rsidRPr="001C701D">
              <w:rPr>
                <w:rFonts w:ascii="Times New Roman" w:eastAsia="Times New Roman" w:hAnsi="Times New Roman" w:cs="Times New Roman"/>
                <w:sz w:val="24"/>
                <w:szCs w:val="24"/>
                <w:lang w:eastAsia="tr-TR"/>
              </w:rPr>
              <w:t>kriterler</w:t>
            </w:r>
            <w:proofErr w:type="gramEnd"/>
            <w:r w:rsidRPr="001C701D">
              <w:rPr>
                <w:rFonts w:ascii="Times New Roman" w:eastAsia="Times New Roman" w:hAnsi="Times New Roman" w:cs="Times New Roman"/>
                <w:sz w:val="24"/>
                <w:szCs w:val="24"/>
                <w:lang w:eastAsia="tr-TR"/>
              </w:rPr>
              <w:t xml:space="preserve"> getirilmesi gerekliliği nedeniyle Birlik düzeyinde daha iyi ulaşılabileceği için, Birlik, Avrupa Birliği Antlaşması'nın 5. Maddesinde belirtilen sübvansiyon ilkesine uygun olarak tedbirler alabilir. Bu Maddede belirtilen orantılılık ilkesine uygun olarak, bu Tüzük, söz konusu hedeflere ulaşmak için gerekenin ötesine geçmez.</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BU YÖNETMELİĞİ KABUL ETMİŞTİR:</w:t>
      </w:r>
    </w:p>
    <w:p w:rsidR="001C701D" w:rsidRPr="001C701D" w:rsidRDefault="001C701D" w:rsidP="001C701D">
      <w:pPr>
        <w:shd w:val="clear" w:color="auto" w:fill="FFFFFF"/>
        <w:spacing w:before="480" w:after="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lastRenderedPageBreak/>
        <w:t>BÖLÜM I</w:t>
      </w:r>
    </w:p>
    <w:p w:rsidR="001C701D" w:rsidRPr="001C701D" w:rsidRDefault="001C701D" w:rsidP="001C701D">
      <w:pPr>
        <w:shd w:val="clear" w:color="auto" w:fill="FFFFFF"/>
        <w:spacing w:before="75"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KONU, KAPSAM VE TANIMLAR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1</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Konu ve kapsam</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1. Bu Yönetmelik, bir yatırımın çevresel açıdan sürdürülebilir olma derecesinin belirlenmesi amacıyla bir ekonomik faaliyetin çevresel açıdan sürdürülebilir olarak nitelendirilip nitelendirilmediğinin belirlenmesine ilişkin </w:t>
      </w:r>
      <w:proofErr w:type="gramStart"/>
      <w:r w:rsidRPr="001C701D">
        <w:rPr>
          <w:rFonts w:ascii="Times New Roman" w:eastAsia="Times New Roman" w:hAnsi="Times New Roman" w:cs="Times New Roman"/>
          <w:color w:val="333333"/>
          <w:sz w:val="27"/>
          <w:szCs w:val="27"/>
          <w:lang w:eastAsia="tr-TR"/>
        </w:rPr>
        <w:t>kriterleri</w:t>
      </w:r>
      <w:proofErr w:type="gramEnd"/>
      <w:r w:rsidRPr="001C701D">
        <w:rPr>
          <w:rFonts w:ascii="Times New Roman" w:eastAsia="Times New Roman" w:hAnsi="Times New Roman" w:cs="Times New Roman"/>
          <w:color w:val="333333"/>
          <w:sz w:val="27"/>
          <w:szCs w:val="27"/>
          <w:lang w:eastAsia="tr-TR"/>
        </w:rPr>
        <w:t xml:space="preserve"> belirlemektedir.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2. Bu Yönetmelik aşağıdakilere uygulanır: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Üye Devletler veya Birlik tarafından, çevresel olarak sürdürülebilir olarak sunulan finansal ürünler veya kurumsal tahviller açısından finansal piyasa katılımcılarına veya ihraççılara yönelik gereklilikleri belirleyen önlemler;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58"/>
        <w:gridCol w:w="8614"/>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finansal</w:t>
            </w:r>
            <w:proofErr w:type="gramEnd"/>
            <w:r w:rsidRPr="001C701D">
              <w:rPr>
                <w:rFonts w:ascii="Times New Roman" w:eastAsia="Times New Roman" w:hAnsi="Times New Roman" w:cs="Times New Roman"/>
                <w:sz w:val="24"/>
                <w:szCs w:val="24"/>
                <w:lang w:eastAsia="tr-TR"/>
              </w:rPr>
              <w:t xml:space="preserve"> ürünleri kullanıma sunan finansal piyasa katılımcıları;</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Avrupa Parlamentosu ve Konseyinin 2013/34/AB </w:t>
            </w:r>
            <w:proofErr w:type="spellStart"/>
            <w:r w:rsidRPr="001C701D">
              <w:rPr>
                <w:rFonts w:ascii="Times New Roman" w:eastAsia="Times New Roman" w:hAnsi="Times New Roman" w:cs="Times New Roman"/>
                <w:sz w:val="24"/>
                <w:szCs w:val="24"/>
                <w:lang w:eastAsia="tr-TR"/>
              </w:rPr>
              <w:t>Direktifi'nin</w:t>
            </w:r>
            <w:proofErr w:type="spellEnd"/>
            <w:r w:rsidRPr="001C701D">
              <w:rPr>
                <w:rFonts w:ascii="Times New Roman" w:eastAsia="Times New Roman" w:hAnsi="Times New Roman" w:cs="Times New Roman"/>
                <w:sz w:val="24"/>
                <w:szCs w:val="24"/>
                <w:lang w:eastAsia="tr-TR"/>
              </w:rPr>
              <w:t xml:space="preserve"> 19a veya 29a maddeleri uyarınca finansal olmayan bir tablo veya </w:t>
            </w:r>
            <w:proofErr w:type="gramStart"/>
            <w:r w:rsidRPr="001C701D">
              <w:rPr>
                <w:rFonts w:ascii="Times New Roman" w:eastAsia="Times New Roman" w:hAnsi="Times New Roman" w:cs="Times New Roman"/>
                <w:sz w:val="24"/>
                <w:szCs w:val="24"/>
                <w:lang w:eastAsia="tr-TR"/>
              </w:rPr>
              <w:t>konsolide</w:t>
            </w:r>
            <w:proofErr w:type="gramEnd"/>
            <w:r w:rsidRPr="001C701D">
              <w:rPr>
                <w:rFonts w:ascii="Times New Roman" w:eastAsia="Times New Roman" w:hAnsi="Times New Roman" w:cs="Times New Roman"/>
                <w:sz w:val="24"/>
                <w:szCs w:val="24"/>
                <w:lang w:eastAsia="tr-TR"/>
              </w:rPr>
              <w:t xml:space="preserve"> finansal olmayan bir tablo yayınlama yükümlülüğüne tabi olan işletmeler  </w:t>
            </w:r>
            <w:hyperlink r:id="rId84" w:anchor="ntr68-L_2020198EN.01001301-E0068"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68</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w:t>
            </w:r>
          </w:p>
        </w:tc>
      </w:tr>
    </w:tbl>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2</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Tanımlar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Bu Yönetmelikte geçen tanımlar aşağıdaki gibidir:</w:t>
      </w: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'Çevresel olarak sürdürülebilir yatırım', bu Yönetmelik kapsamında çevresel olarak sürdürülebilir sayılan bir veya birden fazla ekonomik faaliyete yapılan yatırım anlamına gelir;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'finansal piyasa katılımcısı', (AB) 2019/2088 sayılı Tüzüğün 2. maddesinin (1) numaralı bendinde tanımlanan bir finansal piyasa katılımcısı anlamına gelir ve bir Üye Devletin, söz konusu Tüzüğün 16. maddesi uyarınca bu Tüzüğü uygulamaya karar verdiği bir emeklilik ürünü üreticisini içerir;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'finansal ürün', (AB) 2019/2088 sayılı Tüzüğün 2. maddesinin (12) numaralı noktasında tanımlanan bir finansal ürün anlamına gelir;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(4)</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'ihraççı', Avrupa Parlamentosu ve Konseyinin (AB) 2017/1129 sayılı Tüzüğü'nün  </w:t>
            </w:r>
            <w:hyperlink r:id="rId85" w:anchor="ntr69-L_2020198EN.01001301-E0069"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69</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xml:space="preserve"> 2. maddesinin (h) noktasında tanımlanan bir ihraççı anlamına </w:t>
            </w:r>
            <w:proofErr w:type="gramStart"/>
            <w:r w:rsidRPr="001C701D">
              <w:rPr>
                <w:rFonts w:ascii="Times New Roman" w:eastAsia="Times New Roman" w:hAnsi="Times New Roman" w:cs="Times New Roman"/>
                <w:sz w:val="24"/>
                <w:szCs w:val="24"/>
                <w:lang w:eastAsia="tr-TR"/>
              </w:rPr>
              <w:t>gelir ;</w:t>
            </w:r>
            <w:proofErr w:type="gramEnd"/>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(5)</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'İklim değişikliğinin azaltılması', Paris Anlaşması'nda belirtildiği gibi, küresel ortalama sıcaklık artışının 2 °C'nin oldukça altında tutulması ve sanayi öncesi seviyelerin 1,5 °C üzerinde sınırlandırılmasına yönelik çabaların sürdürülmesi sürecini ifade eder;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(6)</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'İklim değişikliğine uyum', gerçek ve beklenen iklim değişikliğine ve etkilerine uyum sağlama sürecini ifade eder;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(7)</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'sera gazı', Avrupa Parlamentosu ve Konseyinin 525/2013 sayılı Tüzüğü'nün Ek </w:t>
            </w:r>
            <w:proofErr w:type="spellStart"/>
            <w:r w:rsidRPr="001C701D">
              <w:rPr>
                <w:rFonts w:ascii="Times New Roman" w:eastAsia="Times New Roman" w:hAnsi="Times New Roman" w:cs="Times New Roman"/>
                <w:sz w:val="24"/>
                <w:szCs w:val="24"/>
                <w:lang w:eastAsia="tr-TR"/>
              </w:rPr>
              <w:t>I'inde</w:t>
            </w:r>
            <w:proofErr w:type="spellEnd"/>
            <w:r w:rsidRPr="001C701D">
              <w:rPr>
                <w:rFonts w:ascii="Times New Roman" w:eastAsia="Times New Roman" w:hAnsi="Times New Roman" w:cs="Times New Roman"/>
                <w:sz w:val="24"/>
                <w:szCs w:val="24"/>
                <w:lang w:eastAsia="tr-TR"/>
              </w:rPr>
              <w:t xml:space="preserve"> listelenen bir sera gazı anlamına gelir  </w:t>
            </w:r>
            <w:hyperlink r:id="rId86" w:anchor="ntr70-L_2020198EN.01001301-E0070" w:history="1">
              <w:r w:rsidRPr="001C701D">
                <w:rPr>
                  <w:rFonts w:ascii="Times New Roman" w:eastAsia="Times New Roman" w:hAnsi="Times New Roman" w:cs="Times New Roman"/>
                  <w:color w:val="0E47CB"/>
                  <w:sz w:val="24"/>
                  <w:szCs w:val="24"/>
                  <w:lang w:eastAsia="tr-TR"/>
                </w:rPr>
                <w:t>( </w:t>
              </w:r>
              <w:r w:rsidRPr="001C701D">
                <w:rPr>
                  <w:rFonts w:ascii="Times New Roman" w:eastAsia="Times New Roman" w:hAnsi="Times New Roman" w:cs="Times New Roman"/>
                  <w:color w:val="0E47CB"/>
                  <w:sz w:val="17"/>
                  <w:szCs w:val="17"/>
                  <w:vertAlign w:val="superscript"/>
                  <w:lang w:eastAsia="tr-TR"/>
                </w:rPr>
                <w:t>70</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(8)</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'Atık hiyerarşisi', 2008/98/EC sayılı Direktifin 4. maddesinde belirtilen atık hiyerarşisini ifade eder;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(9)</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'Döngüsel ekonomi', ürünlerin, malzemelerin ve ekonomideki diğer kaynakların değerinin mümkün olduğu kadar uzun süre korunduğu, üretim ve tüketimde verimli kullanımının artırıldığı, böylece kullanımlarının çevresel etkisinin azaltıldığı, atık hiyerarşisinin uygulanması da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yaşam döngüsünün tüm aşamalarında atık ve tehlikeli maddelerin salınımının en aza indirildiği bir ekonomik sistem anlamına gelir;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(10)</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'kirletici', havada, suda veya toprakta bulunan ve insan sağlığına veya çevreye zararlı olabilecek, maddi mallara zarar verebilecek veya çevrenin diğer meşru kullanımlarını ve sosyal olanaklarını bozabilecek veya engelleyebilecek bir madde, titreşim, ısı, gürültü, ışık veya diğer kirletici anlamına gelir;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(11)</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'Toprak', yer kabuğunun, kaya ile yüzey arasında kalan, mineral parçacıkları, organik madde, su, hava ve canlı organizmalardan oluşan en üst tabakasını ifade eder;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(12)</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'kirlilik' şu anlama gelir:</w:t>
            </w:r>
          </w:p>
          <w:tbl>
            <w:tblPr>
              <w:tblW w:w="5000" w:type="pct"/>
              <w:tblCellMar>
                <w:left w:w="0" w:type="dxa"/>
                <w:right w:w="0" w:type="dxa"/>
              </w:tblCellMar>
              <w:tblLook w:val="04A0" w:firstRow="1" w:lastRow="0" w:firstColumn="1" w:lastColumn="0" w:noHBand="0" w:noVBand="1"/>
            </w:tblPr>
            <w:tblGrid>
              <w:gridCol w:w="334"/>
              <w:gridCol w:w="8338"/>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insan</w:t>
                  </w:r>
                  <w:proofErr w:type="gramEnd"/>
                  <w:r w:rsidRPr="001C701D">
                    <w:rPr>
                      <w:rFonts w:ascii="Times New Roman" w:eastAsia="Times New Roman" w:hAnsi="Times New Roman" w:cs="Times New Roman"/>
                      <w:sz w:val="24"/>
                      <w:szCs w:val="24"/>
                      <w:lang w:eastAsia="tr-TR"/>
                    </w:rPr>
                    <w:t xml:space="preserve"> faaliyetleri sonucu kirleticilerin doğrudan veya dolaylı olarak havaya, suya veya toprağa girmesi;</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20"/>
              <w:gridCol w:w="8352"/>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Deniz çevresi bağlamında, 2008/56/EC sayılı Direktifin 3. maddesinin 8. noktasında tanımlanan kirlilik;</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20"/>
              <w:gridCol w:w="8352"/>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Su ortamı bağlamında, 2000/60/EC sayılı Direktifin 2. maddesinin 33. noktasında tanımlanan kirlilik;</w:t>
                  </w:r>
                </w:p>
              </w:tc>
            </w:tr>
          </w:tbl>
          <w:p w:rsidR="001C701D" w:rsidRPr="001C701D" w:rsidRDefault="001C701D" w:rsidP="001C701D">
            <w:pPr>
              <w:spacing w:after="0" w:line="240" w:lineRule="auto"/>
              <w:rPr>
                <w:rFonts w:ascii="Times New Roman" w:eastAsia="Times New Roman" w:hAnsi="Times New Roman" w:cs="Times New Roman"/>
                <w:sz w:val="24"/>
                <w:szCs w:val="24"/>
                <w:lang w:eastAsia="tr-TR"/>
              </w:rPr>
            </w:pP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(13)</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'ekosistem', bitki, hayvan ve mikroorganizma toplulukları ile bunların cansız çevrelerinin işlevsel bir birim olarak etkileşim içinde olduğu dinamik bir </w:t>
            </w:r>
            <w:proofErr w:type="gramStart"/>
            <w:r w:rsidRPr="001C701D">
              <w:rPr>
                <w:rFonts w:ascii="Times New Roman" w:eastAsia="Times New Roman" w:hAnsi="Times New Roman" w:cs="Times New Roman"/>
                <w:sz w:val="24"/>
                <w:szCs w:val="24"/>
                <w:lang w:eastAsia="tr-TR"/>
              </w:rPr>
              <w:t>kompleks</w:t>
            </w:r>
            <w:proofErr w:type="gramEnd"/>
            <w:r w:rsidRPr="001C701D">
              <w:rPr>
                <w:rFonts w:ascii="Times New Roman" w:eastAsia="Times New Roman" w:hAnsi="Times New Roman" w:cs="Times New Roman"/>
                <w:sz w:val="24"/>
                <w:szCs w:val="24"/>
                <w:lang w:eastAsia="tr-TR"/>
              </w:rPr>
              <w:t xml:space="preserve"> anlamına gelir;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(14)</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'Ekosistem hizmetleri', ekosistemlerin, insanların bu ekosistemlerden elde ettikleri ekonomik, sosyal, kültürel ve diğer faydalara doğrudan ve dolaylı katkıları anlamına gelir;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(15)</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w:t>
            </w:r>
            <w:proofErr w:type="spellStart"/>
            <w:r w:rsidRPr="001C701D">
              <w:rPr>
                <w:rFonts w:ascii="Times New Roman" w:eastAsia="Times New Roman" w:hAnsi="Times New Roman" w:cs="Times New Roman"/>
                <w:sz w:val="24"/>
                <w:szCs w:val="24"/>
                <w:lang w:eastAsia="tr-TR"/>
              </w:rPr>
              <w:t>Biyoçeşitlilik</w:t>
            </w:r>
            <w:proofErr w:type="spellEnd"/>
            <w:r w:rsidRPr="001C701D">
              <w:rPr>
                <w:rFonts w:ascii="Times New Roman" w:eastAsia="Times New Roman" w:hAnsi="Times New Roman" w:cs="Times New Roman"/>
                <w:sz w:val="24"/>
                <w:szCs w:val="24"/>
                <w:lang w:eastAsia="tr-TR"/>
              </w:rPr>
              <w:t xml:space="preserve">', karasal, denizel ve diğer su ekosistemleri ile bunların parçası olduğu </w:t>
            </w:r>
            <w:proofErr w:type="gramStart"/>
            <w:r w:rsidRPr="001C701D">
              <w:rPr>
                <w:rFonts w:ascii="Times New Roman" w:eastAsia="Times New Roman" w:hAnsi="Times New Roman" w:cs="Times New Roman"/>
                <w:sz w:val="24"/>
                <w:szCs w:val="24"/>
                <w:lang w:eastAsia="tr-TR"/>
              </w:rPr>
              <w:t>ekolojik</w:t>
            </w:r>
            <w:proofErr w:type="gramEnd"/>
            <w:r w:rsidRPr="001C701D">
              <w:rPr>
                <w:rFonts w:ascii="Times New Roman" w:eastAsia="Times New Roman" w:hAnsi="Times New Roman" w:cs="Times New Roman"/>
                <w:sz w:val="24"/>
                <w:szCs w:val="24"/>
                <w:lang w:eastAsia="tr-TR"/>
              </w:rPr>
              <w:t xml:space="preserve"> kompleksler de dahil olmak üzere tüm kaynaklardan kaynaklanan canlı organizmalar arasındaki değişkenliği ifade eder ve türler içindeki, türler arasındaki ve ekosistem çeşitliliğini içerir;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(16)</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'İyi durum', bir ekosistemle ilgili olarak, ekosistemin iyi fiziksel, kimyasal ve biyolojik durumda olması veya tür kompozisyonunun, ekosistem yapısının ve </w:t>
            </w:r>
            <w:proofErr w:type="gramStart"/>
            <w:r w:rsidRPr="001C701D">
              <w:rPr>
                <w:rFonts w:ascii="Times New Roman" w:eastAsia="Times New Roman" w:hAnsi="Times New Roman" w:cs="Times New Roman"/>
                <w:sz w:val="24"/>
                <w:szCs w:val="24"/>
                <w:lang w:eastAsia="tr-TR"/>
              </w:rPr>
              <w:t>ekolojik</w:t>
            </w:r>
            <w:proofErr w:type="gramEnd"/>
            <w:r w:rsidRPr="001C701D">
              <w:rPr>
                <w:rFonts w:ascii="Times New Roman" w:eastAsia="Times New Roman" w:hAnsi="Times New Roman" w:cs="Times New Roman"/>
                <w:sz w:val="24"/>
                <w:szCs w:val="24"/>
                <w:lang w:eastAsia="tr-TR"/>
              </w:rPr>
              <w:t xml:space="preserve"> işlevlerin bozulmadığı, kendini yeniden üretme veya kendini yenileme yeteneğine sahip iyi fiziksel, kimyasal ve biyolojik kalitede olması anlamına gelir;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(17)</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'Enerji verimliliği', enerji zincirinin üretimden nihai tüketime kadar tüm aşamalarında enerjinin daha verimli kullanılması anlamına gelir;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(18)</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'deniz suları', 2008/56/EC sayılı Direktifin 3. maddesinin 1. noktasında tanımlanan deniz suları anlamına gelir;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(19)</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'yüzey suyu', 2000/60/EC sayılı Direktifin 2. maddesinin 1. noktasında tanımlanan yüzey suyu anlamına gelir;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(20)</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'Yeraltı suyu', 2000/60/EC sayılı Direktifin 2. maddesinin 2. noktasında tanımlanan yeraltı suyu anlamına gelir;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(21)</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'İyi çevresel durum', 2008/56/EC sayılı Direktifin 3. maddesinin 5. noktasında tanımlanan iyi çevresel durum anlamına gelir;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(22)</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'İyi durum' şu anlama gelir:</w:t>
            </w:r>
          </w:p>
          <w:tbl>
            <w:tblPr>
              <w:tblW w:w="5000" w:type="pct"/>
              <w:tblCellMar>
                <w:left w:w="0" w:type="dxa"/>
                <w:right w:w="0" w:type="dxa"/>
              </w:tblCellMar>
              <w:tblLook w:val="04A0" w:firstRow="1" w:lastRow="0" w:firstColumn="1" w:lastColumn="0" w:noHBand="0" w:noVBand="1"/>
            </w:tblPr>
            <w:tblGrid>
              <w:gridCol w:w="334"/>
              <w:gridCol w:w="8338"/>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yüzey suyu için, 2000/60/EC sayılı Direktifin 2. maddesinin 22. noktasında tanımlanan 'iyi </w:t>
                  </w:r>
                  <w:proofErr w:type="gramStart"/>
                  <w:r w:rsidRPr="001C701D">
                    <w:rPr>
                      <w:rFonts w:ascii="Times New Roman" w:eastAsia="Times New Roman" w:hAnsi="Times New Roman" w:cs="Times New Roman"/>
                      <w:sz w:val="24"/>
                      <w:szCs w:val="24"/>
                      <w:lang w:eastAsia="tr-TR"/>
                    </w:rPr>
                    <w:t>ekolojik</w:t>
                  </w:r>
                  <w:proofErr w:type="gramEnd"/>
                  <w:r w:rsidRPr="001C701D">
                    <w:rPr>
                      <w:rFonts w:ascii="Times New Roman" w:eastAsia="Times New Roman" w:hAnsi="Times New Roman" w:cs="Times New Roman"/>
                      <w:sz w:val="24"/>
                      <w:szCs w:val="24"/>
                      <w:lang w:eastAsia="tr-TR"/>
                    </w:rPr>
                    <w:t xml:space="preserve"> </w:t>
                  </w:r>
                  <w:proofErr w:type="spellStart"/>
                  <w:r w:rsidRPr="001C701D">
                    <w:rPr>
                      <w:rFonts w:ascii="Times New Roman" w:eastAsia="Times New Roman" w:hAnsi="Times New Roman" w:cs="Times New Roman"/>
                      <w:sz w:val="24"/>
                      <w:szCs w:val="24"/>
                      <w:lang w:eastAsia="tr-TR"/>
                    </w:rPr>
                    <w:t>durum'a</w:t>
                  </w:r>
                  <w:proofErr w:type="spellEnd"/>
                  <w:r w:rsidRPr="001C701D">
                    <w:rPr>
                      <w:rFonts w:ascii="Times New Roman" w:eastAsia="Times New Roman" w:hAnsi="Times New Roman" w:cs="Times New Roman"/>
                      <w:sz w:val="24"/>
                      <w:szCs w:val="24"/>
                      <w:lang w:eastAsia="tr-TR"/>
                    </w:rPr>
                    <w:t xml:space="preserve"> ve aynı Direktifin 2. maddesinin 24. noktasında tanımlanan 'iyi yüzey suyu kimyasal </w:t>
                  </w:r>
                  <w:proofErr w:type="spellStart"/>
                  <w:r w:rsidRPr="001C701D">
                    <w:rPr>
                      <w:rFonts w:ascii="Times New Roman" w:eastAsia="Times New Roman" w:hAnsi="Times New Roman" w:cs="Times New Roman"/>
                      <w:sz w:val="24"/>
                      <w:szCs w:val="24"/>
                      <w:lang w:eastAsia="tr-TR"/>
                    </w:rPr>
                    <w:t>durumu'na</w:t>
                  </w:r>
                  <w:proofErr w:type="spellEnd"/>
                  <w:r w:rsidRPr="001C701D">
                    <w:rPr>
                      <w:rFonts w:ascii="Times New Roman" w:eastAsia="Times New Roman" w:hAnsi="Times New Roman" w:cs="Times New Roman"/>
                      <w:sz w:val="24"/>
                      <w:szCs w:val="24"/>
                      <w:lang w:eastAsia="tr-TR"/>
                    </w:rPr>
                    <w:t xml:space="preserve"> sahip olmak;</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20"/>
              <w:gridCol w:w="8352"/>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Yeraltı suyu için, 2000/60/EC sayılı Direktifin 2. maddesinin 25. noktasında tanımlanan 'iyi yeraltı suyu kimyasal durumu' ve aynı Direktifin 2. maddesinin 28. noktasında tanımlanan 'iyi nicel </w:t>
                  </w:r>
                  <w:proofErr w:type="spellStart"/>
                  <w:r w:rsidRPr="001C701D">
                    <w:rPr>
                      <w:rFonts w:ascii="Times New Roman" w:eastAsia="Times New Roman" w:hAnsi="Times New Roman" w:cs="Times New Roman"/>
                      <w:sz w:val="24"/>
                      <w:szCs w:val="24"/>
                      <w:lang w:eastAsia="tr-TR"/>
                    </w:rPr>
                    <w:t>durum'a</w:t>
                  </w:r>
                  <w:proofErr w:type="spellEnd"/>
                  <w:r w:rsidRPr="001C701D">
                    <w:rPr>
                      <w:rFonts w:ascii="Times New Roman" w:eastAsia="Times New Roman" w:hAnsi="Times New Roman" w:cs="Times New Roman"/>
                      <w:sz w:val="24"/>
                      <w:szCs w:val="24"/>
                      <w:lang w:eastAsia="tr-TR"/>
                    </w:rPr>
                    <w:t xml:space="preserve"> sahip olmak;</w:t>
                  </w:r>
                </w:p>
              </w:tc>
            </w:tr>
          </w:tbl>
          <w:p w:rsidR="001C701D" w:rsidRPr="001C701D" w:rsidRDefault="001C701D" w:rsidP="001C701D">
            <w:pPr>
              <w:spacing w:after="0" w:line="240" w:lineRule="auto"/>
              <w:rPr>
                <w:rFonts w:ascii="Times New Roman" w:eastAsia="Times New Roman" w:hAnsi="Times New Roman" w:cs="Times New Roman"/>
                <w:sz w:val="24"/>
                <w:szCs w:val="24"/>
                <w:lang w:eastAsia="tr-TR"/>
              </w:rPr>
            </w:pP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00"/>
        <w:gridCol w:w="86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(23)</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'İyi </w:t>
            </w:r>
            <w:proofErr w:type="gramStart"/>
            <w:r w:rsidRPr="001C701D">
              <w:rPr>
                <w:rFonts w:ascii="Times New Roman" w:eastAsia="Times New Roman" w:hAnsi="Times New Roman" w:cs="Times New Roman"/>
                <w:sz w:val="24"/>
                <w:szCs w:val="24"/>
                <w:lang w:eastAsia="tr-TR"/>
              </w:rPr>
              <w:t>ekolojik</w:t>
            </w:r>
            <w:proofErr w:type="gramEnd"/>
            <w:r w:rsidRPr="001C701D">
              <w:rPr>
                <w:rFonts w:ascii="Times New Roman" w:eastAsia="Times New Roman" w:hAnsi="Times New Roman" w:cs="Times New Roman"/>
                <w:sz w:val="24"/>
                <w:szCs w:val="24"/>
                <w:lang w:eastAsia="tr-TR"/>
              </w:rPr>
              <w:t xml:space="preserve"> potansiyel', 2000/60/EC sayılı Direktifin 2. maddesinin 23. noktasında tanımlanan iyi ekolojik potansiyeli ifade eder.</w:t>
            </w:r>
          </w:p>
        </w:tc>
      </w:tr>
    </w:tbl>
    <w:p w:rsidR="001C701D" w:rsidRPr="001C701D" w:rsidRDefault="001C701D" w:rsidP="001C701D">
      <w:pPr>
        <w:shd w:val="clear" w:color="auto" w:fill="FFFFFF"/>
        <w:spacing w:before="480" w:after="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BÖLÜM II</w:t>
      </w:r>
    </w:p>
    <w:p w:rsidR="001C701D" w:rsidRPr="001C701D" w:rsidRDefault="001C701D" w:rsidP="001C701D">
      <w:pPr>
        <w:shd w:val="clear" w:color="auto" w:fill="FFFFFF"/>
        <w:spacing w:before="75"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ÇEVRESEL OLARAK SÜRDÜRÜLEBİLİR EKONOMİK FAALİYETLER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3</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 xml:space="preserve">Çevresel açıdan sürdürülebilir ekonomik faaliyetlere ilişkin </w:t>
      </w:r>
      <w:proofErr w:type="gramStart"/>
      <w:r w:rsidRPr="001C701D">
        <w:rPr>
          <w:rFonts w:ascii="Times New Roman" w:eastAsia="Times New Roman" w:hAnsi="Times New Roman" w:cs="Times New Roman"/>
          <w:b/>
          <w:bCs/>
          <w:color w:val="333333"/>
          <w:sz w:val="27"/>
          <w:szCs w:val="27"/>
          <w:lang w:eastAsia="tr-TR"/>
        </w:rPr>
        <w:t>kriterler</w:t>
      </w:r>
      <w:proofErr w:type="gramEnd"/>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Bir yatırımın çevresel olarak sürdürülebilir olma derecesinin belirlenmesi amacıyla, bir ekonomik faaliyet aşağıdaki durumlarda çevresel olarak sürdürülebilir olarak nitelendirilir: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Madde 10 ila 16 uyarınca Madde 9'da belirtilen çevresel hedeflerden bir veya daha fazlasına önemli ölçüde katkıda bulunur;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Madde 17 uyarınca Madde 9'da belirtilen çevresel hedeflerden herhangi birine önemli ölçüde zarar vermemektedir;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89"/>
        <w:gridCol w:w="8683"/>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Madde 18'de belirtilen asgari güvencelere uygun olarak </w:t>
            </w:r>
            <w:proofErr w:type="gramStart"/>
            <w:r w:rsidRPr="001C701D">
              <w:rPr>
                <w:rFonts w:ascii="Times New Roman" w:eastAsia="Times New Roman" w:hAnsi="Times New Roman" w:cs="Times New Roman"/>
                <w:sz w:val="24"/>
                <w:szCs w:val="24"/>
                <w:lang w:eastAsia="tr-TR"/>
              </w:rPr>
              <w:t>gerçekleştirilir;</w:t>
            </w:r>
            <w:proofErr w:type="gramEnd"/>
            <w:r w:rsidRPr="001C701D">
              <w:rPr>
                <w:rFonts w:ascii="Times New Roman" w:eastAsia="Times New Roman" w:hAnsi="Times New Roman" w:cs="Times New Roman"/>
                <w:sz w:val="24"/>
                <w:szCs w:val="24"/>
                <w:lang w:eastAsia="tr-TR"/>
              </w:rPr>
              <w:t xml:space="preserve"> ve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Komisyon tarafından Madde 10(3), 11(3), 12(2), 13(2), 14(2) veya 15(2) uyarınca belirlenen teknik tarama </w:t>
            </w:r>
            <w:proofErr w:type="gramStart"/>
            <w:r w:rsidRPr="001C701D">
              <w:rPr>
                <w:rFonts w:ascii="Times New Roman" w:eastAsia="Times New Roman" w:hAnsi="Times New Roman" w:cs="Times New Roman"/>
                <w:sz w:val="24"/>
                <w:szCs w:val="24"/>
                <w:lang w:eastAsia="tr-TR"/>
              </w:rPr>
              <w:t>kriterlerine</w:t>
            </w:r>
            <w:proofErr w:type="gramEnd"/>
            <w:r w:rsidRPr="001C701D">
              <w:rPr>
                <w:rFonts w:ascii="Times New Roman" w:eastAsia="Times New Roman" w:hAnsi="Times New Roman" w:cs="Times New Roman"/>
                <w:sz w:val="24"/>
                <w:szCs w:val="24"/>
                <w:lang w:eastAsia="tr-TR"/>
              </w:rPr>
              <w:t xml:space="preserve"> uygundur.</w:t>
            </w:r>
          </w:p>
        </w:tc>
      </w:tr>
    </w:tbl>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4</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Çevresel açıdan sürdürülebilir ekonomik faaliyetlere ilişkin ölçütlerin kamusal önlemlerde, standartlarda ve etiketlerde kullanılması</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Üye Devletler ve Birlik, finansal piyasa katılımcıları veya ihraççıları için çevresel olarak sürdürülebilir olarak sunulan finansal ürünler veya kurumsal tahviller açısından gereklilikleri belirleyen herhangi bir tedbirin amaçları doğrultusunda bir ekonomik faaliyetin çevresel olarak sürdürülebilir olarak nitelendirilip nitelendirilmediğini belirlemek için Madde 3'te belirtilen </w:t>
      </w:r>
      <w:proofErr w:type="gramStart"/>
      <w:r w:rsidRPr="001C701D">
        <w:rPr>
          <w:rFonts w:ascii="Times New Roman" w:eastAsia="Times New Roman" w:hAnsi="Times New Roman" w:cs="Times New Roman"/>
          <w:color w:val="333333"/>
          <w:sz w:val="27"/>
          <w:szCs w:val="27"/>
          <w:lang w:eastAsia="tr-TR"/>
        </w:rPr>
        <w:t>kriterleri</w:t>
      </w:r>
      <w:proofErr w:type="gramEnd"/>
      <w:r w:rsidRPr="001C701D">
        <w:rPr>
          <w:rFonts w:ascii="Times New Roman" w:eastAsia="Times New Roman" w:hAnsi="Times New Roman" w:cs="Times New Roman"/>
          <w:color w:val="333333"/>
          <w:sz w:val="27"/>
          <w:szCs w:val="27"/>
          <w:lang w:eastAsia="tr-TR"/>
        </w:rPr>
        <w:t xml:space="preserve"> uygular.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lastRenderedPageBreak/>
        <w:t>Madde 5</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Sözleşme öncesi açıklamalarda ve periyodik raporlarda çevresel açıdan sürdürülebilir yatırımların şeffaflığı</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proofErr w:type="gramStart"/>
      <w:r w:rsidRPr="001C701D">
        <w:rPr>
          <w:rFonts w:ascii="Times New Roman" w:eastAsia="Times New Roman" w:hAnsi="Times New Roman" w:cs="Times New Roman"/>
          <w:color w:val="333333"/>
          <w:sz w:val="27"/>
          <w:szCs w:val="27"/>
          <w:lang w:eastAsia="tr-TR"/>
        </w:rPr>
        <w:t>(AB) 2019/2088 sayılı Tüzüğün 9(1), (2) veya (3) maddelerinde sözü edilen bir finansal ürün, söz konusu Tüzüğün 2. maddesinin (17) numaralı bendi anlamında bir çevresel hedefe katkıda bulunan bir ekonomik faaliyete yatırım yaparsa, söz konusu Tüzüğün 6(3) ve 11(2) maddelerine uygun olarak açıklanacak bilgiler aşağıdakileri içerecektir:</w:t>
      </w:r>
      <w:proofErr w:type="gramEnd"/>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Yönetmeliğin 9 uncu maddesinde belirtilen, finansal ürünün dayandığı yatırımın katkıda bulunduğu çevresel amaç veya amaçlara ilişkin </w:t>
            </w:r>
            <w:proofErr w:type="gramStart"/>
            <w:r w:rsidRPr="001C701D">
              <w:rPr>
                <w:rFonts w:ascii="Times New Roman" w:eastAsia="Times New Roman" w:hAnsi="Times New Roman" w:cs="Times New Roman"/>
                <w:sz w:val="24"/>
                <w:szCs w:val="24"/>
                <w:lang w:eastAsia="tr-TR"/>
              </w:rPr>
              <w:t>bilgiler;</w:t>
            </w:r>
            <w:proofErr w:type="gramEnd"/>
            <w:r w:rsidRPr="001C701D">
              <w:rPr>
                <w:rFonts w:ascii="Times New Roman" w:eastAsia="Times New Roman" w:hAnsi="Times New Roman" w:cs="Times New Roman"/>
                <w:sz w:val="24"/>
                <w:szCs w:val="24"/>
                <w:lang w:eastAsia="tr-TR"/>
              </w:rPr>
              <w:t xml:space="preserve"> ve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Finansal ürünün dayandığı yatırımların, bu Yönetmeliğin 3. maddesi uyarınca çevresel olarak sürdürülebilir olarak nitelendirilen ekonomik faaliyetlerde nasıl ve ne ölçüde yer aldığına ilişkin açıklama.</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Bu maddenin birinci fıkrasının (b) bendinde sözü edilen açıklamada, finansal ürün için seçilen çevresel açıdan sürdürülebilir ekonomik faaliyetlere yapılan yatırımların oranı, sırasıyla 16. madde ve 10(2). </w:t>
      </w:r>
      <w:proofErr w:type="gramStart"/>
      <w:r w:rsidRPr="001C701D">
        <w:rPr>
          <w:rFonts w:ascii="Times New Roman" w:eastAsia="Times New Roman" w:hAnsi="Times New Roman" w:cs="Times New Roman"/>
          <w:color w:val="333333"/>
          <w:sz w:val="27"/>
          <w:szCs w:val="27"/>
          <w:lang w:eastAsia="tr-TR"/>
        </w:rPr>
        <w:t>maddede</w:t>
      </w:r>
      <w:proofErr w:type="gramEnd"/>
      <w:r w:rsidRPr="001C701D">
        <w:rPr>
          <w:rFonts w:ascii="Times New Roman" w:eastAsia="Times New Roman" w:hAnsi="Times New Roman" w:cs="Times New Roman"/>
          <w:color w:val="333333"/>
          <w:sz w:val="27"/>
          <w:szCs w:val="27"/>
          <w:lang w:eastAsia="tr-TR"/>
        </w:rPr>
        <w:t xml:space="preserve"> sözü edilen kolaylaştırıcı ve geçiş faaliyetlerinin oranlarına ilişkin ayrıntılar da dahil olmak üzere, finansal ürün için seçilen tüm yatırımların yüzdesi olarak belirtilecektir.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6</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Sözleşme öncesi açıklamalarda ve periyodik raporlarda çevresel özellikleri öne çıkaran finansal ürünlerin şeffaflığı</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(AB) 2019/2088 sayılı Yönetmeliğin 8(1) maddesinde belirtilen bir finansal ürün çevresel özellikleri teşvik ediyorsa, bu Yönetmeliğin 5. maddesi </w:t>
      </w:r>
      <w:r w:rsidRPr="001C701D">
        <w:rPr>
          <w:rFonts w:ascii="Times New Roman" w:eastAsia="Times New Roman" w:hAnsi="Times New Roman" w:cs="Times New Roman"/>
          <w:i/>
          <w:iCs/>
          <w:color w:val="333333"/>
          <w:sz w:val="27"/>
          <w:szCs w:val="27"/>
          <w:lang w:eastAsia="tr-TR"/>
        </w:rPr>
        <w:t>gerekli değişikliklerle</w:t>
      </w:r>
      <w:r w:rsidRPr="001C701D">
        <w:rPr>
          <w:rFonts w:ascii="Times New Roman" w:eastAsia="Times New Roman" w:hAnsi="Times New Roman" w:cs="Times New Roman"/>
          <w:color w:val="333333"/>
          <w:sz w:val="27"/>
          <w:szCs w:val="27"/>
          <w:lang w:eastAsia="tr-TR"/>
        </w:rPr>
        <w:t> </w:t>
      </w:r>
      <w:proofErr w:type="gramStart"/>
      <w:r w:rsidRPr="001C701D">
        <w:rPr>
          <w:rFonts w:ascii="Times New Roman" w:eastAsia="Times New Roman" w:hAnsi="Times New Roman" w:cs="Times New Roman"/>
          <w:color w:val="333333"/>
          <w:sz w:val="27"/>
          <w:szCs w:val="27"/>
          <w:lang w:eastAsia="tr-TR"/>
        </w:rPr>
        <w:t>uygulanır .</w:t>
      </w:r>
      <w:proofErr w:type="gramEnd"/>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(AB) 2019/2088 sayılı Tüzüğün 6(3) ve 11(2) maddeleri uyarınca açıklanacak bilgilere aşağıdaki beyan eşlik edecektir: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'Önemli zarar vermeme' ilkesi yalnızca finansal ürünün dayandığı ve AB'nin çevresel açıdan sürdürülebilir ekonomik faaliyetlere ilişkin </w:t>
      </w:r>
      <w:proofErr w:type="gramStart"/>
      <w:r w:rsidRPr="001C701D">
        <w:rPr>
          <w:rFonts w:ascii="Times New Roman" w:eastAsia="Times New Roman" w:hAnsi="Times New Roman" w:cs="Times New Roman"/>
          <w:color w:val="333333"/>
          <w:sz w:val="27"/>
          <w:szCs w:val="27"/>
          <w:lang w:eastAsia="tr-TR"/>
        </w:rPr>
        <w:t>kriterlerini</w:t>
      </w:r>
      <w:proofErr w:type="gramEnd"/>
      <w:r w:rsidRPr="001C701D">
        <w:rPr>
          <w:rFonts w:ascii="Times New Roman" w:eastAsia="Times New Roman" w:hAnsi="Times New Roman" w:cs="Times New Roman"/>
          <w:color w:val="333333"/>
          <w:sz w:val="27"/>
          <w:szCs w:val="27"/>
          <w:lang w:eastAsia="tr-TR"/>
        </w:rPr>
        <w:t xml:space="preserve"> dikkate alan yatırımlar için geçerlidir.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Bu finansal ürünün geri kalan kısmını oluşturan yatırımlar, AB'nin çevresel açıdan sürdürülebilir ekonomik faaliyetlere ilişkin </w:t>
      </w:r>
      <w:proofErr w:type="gramStart"/>
      <w:r w:rsidRPr="001C701D">
        <w:rPr>
          <w:rFonts w:ascii="Times New Roman" w:eastAsia="Times New Roman" w:hAnsi="Times New Roman" w:cs="Times New Roman"/>
          <w:color w:val="333333"/>
          <w:sz w:val="27"/>
          <w:szCs w:val="27"/>
          <w:lang w:eastAsia="tr-TR"/>
        </w:rPr>
        <w:t>kriterlerini</w:t>
      </w:r>
      <w:proofErr w:type="gramEnd"/>
      <w:r w:rsidRPr="001C701D">
        <w:rPr>
          <w:rFonts w:ascii="Times New Roman" w:eastAsia="Times New Roman" w:hAnsi="Times New Roman" w:cs="Times New Roman"/>
          <w:color w:val="333333"/>
          <w:sz w:val="27"/>
          <w:szCs w:val="27"/>
          <w:lang w:eastAsia="tr-TR"/>
        </w:rPr>
        <w:t xml:space="preserve"> dikkate almıyor.'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7</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Sözleşme öncesi açıklamalarda ve periyodik raporlarda diğer finansal ürünlerin şeffaflığı</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Bir finansal ürünün, (AB) 2019/2088 sayılı Tüzüğün 8(1) maddesine veya 9(1), (2) veya (3) maddelerine tabi olmaması halinde, söz konusu Tüzüğün 6(3) ve 11(2) </w:t>
      </w:r>
      <w:r w:rsidRPr="001C701D">
        <w:rPr>
          <w:rFonts w:ascii="Times New Roman" w:eastAsia="Times New Roman" w:hAnsi="Times New Roman" w:cs="Times New Roman"/>
          <w:color w:val="333333"/>
          <w:sz w:val="27"/>
          <w:szCs w:val="27"/>
          <w:lang w:eastAsia="tr-TR"/>
        </w:rPr>
        <w:lastRenderedPageBreak/>
        <w:t xml:space="preserve">maddelerinde atıfta bulunulan </w:t>
      </w:r>
      <w:proofErr w:type="spellStart"/>
      <w:r w:rsidRPr="001C701D">
        <w:rPr>
          <w:rFonts w:ascii="Times New Roman" w:eastAsia="Times New Roman" w:hAnsi="Times New Roman" w:cs="Times New Roman"/>
          <w:color w:val="333333"/>
          <w:sz w:val="27"/>
          <w:szCs w:val="27"/>
          <w:lang w:eastAsia="tr-TR"/>
        </w:rPr>
        <w:t>sektörel</w:t>
      </w:r>
      <w:proofErr w:type="spellEnd"/>
      <w:r w:rsidRPr="001C701D">
        <w:rPr>
          <w:rFonts w:ascii="Times New Roman" w:eastAsia="Times New Roman" w:hAnsi="Times New Roman" w:cs="Times New Roman"/>
          <w:color w:val="333333"/>
          <w:sz w:val="27"/>
          <w:szCs w:val="27"/>
          <w:lang w:eastAsia="tr-TR"/>
        </w:rPr>
        <w:t xml:space="preserve"> mevzuat hükümlerine uygun olarak açıklanması gereken bilgilere aşağıdaki beyan eşlik eder: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'Bu finansal ürünün temelinde yatan yatırımlar, AB'nin çevresel açıdan sürdürülebilir ekonomik faaliyetlere ilişkin </w:t>
      </w:r>
      <w:proofErr w:type="gramStart"/>
      <w:r w:rsidRPr="001C701D">
        <w:rPr>
          <w:rFonts w:ascii="Times New Roman" w:eastAsia="Times New Roman" w:hAnsi="Times New Roman" w:cs="Times New Roman"/>
          <w:color w:val="333333"/>
          <w:sz w:val="27"/>
          <w:szCs w:val="27"/>
          <w:lang w:eastAsia="tr-TR"/>
        </w:rPr>
        <w:t>kriterlerini</w:t>
      </w:r>
      <w:proofErr w:type="gramEnd"/>
      <w:r w:rsidRPr="001C701D">
        <w:rPr>
          <w:rFonts w:ascii="Times New Roman" w:eastAsia="Times New Roman" w:hAnsi="Times New Roman" w:cs="Times New Roman"/>
          <w:color w:val="333333"/>
          <w:sz w:val="27"/>
          <w:szCs w:val="27"/>
          <w:lang w:eastAsia="tr-TR"/>
        </w:rPr>
        <w:t xml:space="preserve"> dikkate almıyor.'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8</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Finansal olmayan tablolarda işletmelerin şeffaflığı</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1. 2013/34/AB </w:t>
      </w:r>
      <w:proofErr w:type="spellStart"/>
      <w:r w:rsidRPr="001C701D">
        <w:rPr>
          <w:rFonts w:ascii="Times New Roman" w:eastAsia="Times New Roman" w:hAnsi="Times New Roman" w:cs="Times New Roman"/>
          <w:color w:val="333333"/>
          <w:sz w:val="27"/>
          <w:szCs w:val="27"/>
          <w:lang w:eastAsia="tr-TR"/>
        </w:rPr>
        <w:t>Direktifi'nin</w:t>
      </w:r>
      <w:proofErr w:type="spellEnd"/>
      <w:r w:rsidRPr="001C701D">
        <w:rPr>
          <w:rFonts w:ascii="Times New Roman" w:eastAsia="Times New Roman" w:hAnsi="Times New Roman" w:cs="Times New Roman"/>
          <w:color w:val="333333"/>
          <w:sz w:val="27"/>
          <w:szCs w:val="27"/>
          <w:lang w:eastAsia="tr-TR"/>
        </w:rPr>
        <w:t xml:space="preserve"> 19a veya 29a maddeleri uyarınca finansal olmayan bilgileri yayınlama yükümlülüğüne tabi olan herhangi bir işletme, finansal olmayan tablosunda veya </w:t>
      </w:r>
      <w:proofErr w:type="gramStart"/>
      <w:r w:rsidRPr="001C701D">
        <w:rPr>
          <w:rFonts w:ascii="Times New Roman" w:eastAsia="Times New Roman" w:hAnsi="Times New Roman" w:cs="Times New Roman"/>
          <w:color w:val="333333"/>
          <w:sz w:val="27"/>
          <w:szCs w:val="27"/>
          <w:lang w:eastAsia="tr-TR"/>
        </w:rPr>
        <w:t>konsolide</w:t>
      </w:r>
      <w:proofErr w:type="gramEnd"/>
      <w:r w:rsidRPr="001C701D">
        <w:rPr>
          <w:rFonts w:ascii="Times New Roman" w:eastAsia="Times New Roman" w:hAnsi="Times New Roman" w:cs="Times New Roman"/>
          <w:color w:val="333333"/>
          <w:sz w:val="27"/>
          <w:szCs w:val="27"/>
          <w:lang w:eastAsia="tr-TR"/>
        </w:rPr>
        <w:t xml:space="preserve"> finansal olmayan tablosunda, işletmenin faaliyetlerinin bu Yönetmeliğin 3 ve 9. maddeleri uyarınca çevresel olarak sürdürülebilir olarak nitelendirilen ekonomik faaliyetlerle nasıl ve hangi ölçüde ilişkili olduğuna ilişkin bilgileri yer alır.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2. Finansal olmayan teşebbüsler özellikle aşağıdakileri açıklamak zorundadır: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cirolarının</w:t>
            </w:r>
            <w:proofErr w:type="gramEnd"/>
            <w:r w:rsidRPr="001C701D">
              <w:rPr>
                <w:rFonts w:ascii="Times New Roman" w:eastAsia="Times New Roman" w:hAnsi="Times New Roman" w:cs="Times New Roman"/>
                <w:sz w:val="24"/>
                <w:szCs w:val="24"/>
                <w:lang w:eastAsia="tr-TR"/>
              </w:rPr>
              <w:t>, Madde 3 ve 9 uyarınca çevresel olarak sürdürülebilir olarak nitelendirilen ekonomik faaliyetlerle ilişkili ürün veya hizmetlerden elde edilen oranı; ve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 ve 9. maddeler uyarınca çevresel olarak sürdürülebilir olarak nitelendirilen ekonomik faaliyetlerle ilişkili varlıklar veya süreçlere ilişkin sermaye harcamalarının oranı ve işletme harcamalarının oranı.</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3. Bir işletme, 2013/34/EU sayılı Direktifin 19a veya 29a maddesi uyarınca finansal olmayan bilgileri, söz konusu Direktifin 19a(4) veya 29a(4) maddesi uyarınca ayrı bir raporda yayımlarsa, bu maddenin 1 ve 2 numaralı paragraflarında belirtilen bilgiler söz konusu ayrı raporda yayımlanır.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4. Komisyon, bu maddenin 1. ve 2. fıkralarını tamamlamak üzere, bu fıkralar uyarınca açıklanacak bilgilerin içeriğini ve sunumunu, bunlara uyum sağlamak için kullanılacak </w:t>
      </w:r>
      <w:proofErr w:type="gramStart"/>
      <w:r w:rsidRPr="001C701D">
        <w:rPr>
          <w:rFonts w:ascii="Times New Roman" w:eastAsia="Times New Roman" w:hAnsi="Times New Roman" w:cs="Times New Roman"/>
          <w:color w:val="333333"/>
          <w:sz w:val="27"/>
          <w:szCs w:val="27"/>
          <w:lang w:eastAsia="tr-TR"/>
        </w:rPr>
        <w:t>metodoloji</w:t>
      </w:r>
      <w:proofErr w:type="gramEnd"/>
      <w:r w:rsidRPr="001C701D">
        <w:rPr>
          <w:rFonts w:ascii="Times New Roman" w:eastAsia="Times New Roman" w:hAnsi="Times New Roman" w:cs="Times New Roman"/>
          <w:color w:val="333333"/>
          <w:sz w:val="27"/>
          <w:szCs w:val="27"/>
          <w:lang w:eastAsia="tr-TR"/>
        </w:rPr>
        <w:t xml:space="preserve"> de dahil olmak üzere, hem finansal hem de finansal olmayan teşebbüslerin özelliklerini ve bu Yönetmelik uyarınca belirlenen teknik tarama kriterlerini dikkate alarak belirlemek üzere, 23. madde uyarınca bir yetki devri kararı kabul edecektir. Komisyon, bu yetki devri kararını 1 Haziran 2021 tarihine kadar kabul edecektir.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9</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Çevresel hedefler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Bu Yönetmeliğin amaçları bakımından çevresel hedefler şunlardır:</w:t>
      </w:r>
    </w:p>
    <w:tbl>
      <w:tblPr>
        <w:tblW w:w="5000" w:type="pct"/>
        <w:tblCellMar>
          <w:left w:w="0" w:type="dxa"/>
          <w:right w:w="0" w:type="dxa"/>
        </w:tblCellMar>
        <w:tblLook w:val="04A0" w:firstRow="1" w:lastRow="0" w:firstColumn="1" w:lastColumn="0" w:noHBand="0" w:noVBand="1"/>
      </w:tblPr>
      <w:tblGrid>
        <w:gridCol w:w="895"/>
        <w:gridCol w:w="8177"/>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iklim</w:t>
            </w:r>
            <w:proofErr w:type="gramEnd"/>
            <w:r w:rsidRPr="001C701D">
              <w:rPr>
                <w:rFonts w:ascii="Times New Roman" w:eastAsia="Times New Roman" w:hAnsi="Times New Roman" w:cs="Times New Roman"/>
                <w:sz w:val="24"/>
                <w:szCs w:val="24"/>
                <w:lang w:eastAsia="tr-TR"/>
              </w:rPr>
              <w:t xml:space="preserve"> değişikliğinin azaltılması;</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1037"/>
        <w:gridCol w:w="803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iklim</w:t>
            </w:r>
            <w:proofErr w:type="gramEnd"/>
            <w:r w:rsidRPr="001C701D">
              <w:rPr>
                <w:rFonts w:ascii="Times New Roman" w:eastAsia="Times New Roman" w:hAnsi="Times New Roman" w:cs="Times New Roman"/>
                <w:sz w:val="24"/>
                <w:szCs w:val="24"/>
                <w:lang w:eastAsia="tr-TR"/>
              </w:rPr>
              <w:t xml:space="preserve"> değişikliğine uyum;</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43"/>
        <w:gridCol w:w="8629"/>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su</w:t>
            </w:r>
            <w:proofErr w:type="gramEnd"/>
            <w:r w:rsidRPr="001C701D">
              <w:rPr>
                <w:rFonts w:ascii="Times New Roman" w:eastAsia="Times New Roman" w:hAnsi="Times New Roman" w:cs="Times New Roman"/>
                <w:sz w:val="24"/>
                <w:szCs w:val="24"/>
                <w:lang w:eastAsia="tr-TR"/>
              </w:rPr>
              <w:t xml:space="preserve"> ve deniz kaynaklarının sürdürülebilir kullanımı ve korunması;</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1072"/>
        <w:gridCol w:w="8000"/>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dairesel</w:t>
            </w:r>
            <w:proofErr w:type="gramEnd"/>
            <w:r w:rsidRPr="001C701D">
              <w:rPr>
                <w:rFonts w:ascii="Times New Roman" w:eastAsia="Times New Roman" w:hAnsi="Times New Roman" w:cs="Times New Roman"/>
                <w:sz w:val="24"/>
                <w:szCs w:val="24"/>
                <w:lang w:eastAsia="tr-TR"/>
              </w:rPr>
              <w:t xml:space="preserve"> ekonomiye geçiş;</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717"/>
        <w:gridCol w:w="835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(e)</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kirliliğin</w:t>
            </w:r>
            <w:proofErr w:type="gramEnd"/>
            <w:r w:rsidRPr="001C701D">
              <w:rPr>
                <w:rFonts w:ascii="Times New Roman" w:eastAsia="Times New Roman" w:hAnsi="Times New Roman" w:cs="Times New Roman"/>
                <w:sz w:val="24"/>
                <w:szCs w:val="24"/>
                <w:lang w:eastAsia="tr-TR"/>
              </w:rPr>
              <w:t xml:space="preserve"> önlenmesi ve kontrolü;</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99"/>
        <w:gridCol w:w="8673"/>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(F)</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biyolojik</w:t>
            </w:r>
            <w:proofErr w:type="gramEnd"/>
            <w:r w:rsidRPr="001C701D">
              <w:rPr>
                <w:rFonts w:ascii="Times New Roman" w:eastAsia="Times New Roman" w:hAnsi="Times New Roman" w:cs="Times New Roman"/>
                <w:sz w:val="24"/>
                <w:szCs w:val="24"/>
                <w:lang w:eastAsia="tr-TR"/>
              </w:rPr>
              <w:t xml:space="preserve"> çeşitliliğin ve ekosistemlerin korunması ve restorasyonu.</w:t>
            </w:r>
          </w:p>
        </w:tc>
      </w:tr>
    </w:tbl>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10</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İklim değişikliğinin azaltılmasına önemli katkı</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1. Bir ekonomik faaliyet, Paris Anlaşması'nın uzun vadeli sıcaklık hedefi ile uyumlu olarak, sera gazı </w:t>
      </w:r>
      <w:proofErr w:type="gramStart"/>
      <w:r w:rsidRPr="001C701D">
        <w:rPr>
          <w:rFonts w:ascii="Times New Roman" w:eastAsia="Times New Roman" w:hAnsi="Times New Roman" w:cs="Times New Roman"/>
          <w:color w:val="333333"/>
          <w:sz w:val="27"/>
          <w:szCs w:val="27"/>
          <w:lang w:eastAsia="tr-TR"/>
        </w:rPr>
        <w:t>emisyonlarının</w:t>
      </w:r>
      <w:proofErr w:type="gramEnd"/>
      <w:r w:rsidRPr="001C701D">
        <w:rPr>
          <w:rFonts w:ascii="Times New Roman" w:eastAsia="Times New Roman" w:hAnsi="Times New Roman" w:cs="Times New Roman"/>
          <w:color w:val="333333"/>
          <w:sz w:val="27"/>
          <w:szCs w:val="27"/>
          <w:lang w:eastAsia="tr-TR"/>
        </w:rPr>
        <w:t xml:space="preserve"> önlenmesi veya azaltılması veya sera gazı </w:t>
      </w:r>
      <w:proofErr w:type="spellStart"/>
      <w:r w:rsidRPr="001C701D">
        <w:rPr>
          <w:rFonts w:ascii="Times New Roman" w:eastAsia="Times New Roman" w:hAnsi="Times New Roman" w:cs="Times New Roman"/>
          <w:color w:val="333333"/>
          <w:sz w:val="27"/>
          <w:szCs w:val="27"/>
          <w:lang w:eastAsia="tr-TR"/>
        </w:rPr>
        <w:t>gideriminin</w:t>
      </w:r>
      <w:proofErr w:type="spellEnd"/>
      <w:r w:rsidRPr="001C701D">
        <w:rPr>
          <w:rFonts w:ascii="Times New Roman" w:eastAsia="Times New Roman" w:hAnsi="Times New Roman" w:cs="Times New Roman"/>
          <w:color w:val="333333"/>
          <w:sz w:val="27"/>
          <w:szCs w:val="27"/>
          <w:lang w:eastAsia="tr-TR"/>
        </w:rPr>
        <w:t xml:space="preserve"> artırılması yoluyla, sera gazı emisyonlarının önlenmesi veya azaltılması veya sera gazı </w:t>
      </w:r>
      <w:proofErr w:type="spellStart"/>
      <w:r w:rsidRPr="001C701D">
        <w:rPr>
          <w:rFonts w:ascii="Times New Roman" w:eastAsia="Times New Roman" w:hAnsi="Times New Roman" w:cs="Times New Roman"/>
          <w:color w:val="333333"/>
          <w:sz w:val="27"/>
          <w:szCs w:val="27"/>
          <w:lang w:eastAsia="tr-TR"/>
        </w:rPr>
        <w:t>gideriminin</w:t>
      </w:r>
      <w:proofErr w:type="spellEnd"/>
      <w:r w:rsidRPr="001C701D">
        <w:rPr>
          <w:rFonts w:ascii="Times New Roman" w:eastAsia="Times New Roman" w:hAnsi="Times New Roman" w:cs="Times New Roman"/>
          <w:color w:val="333333"/>
          <w:sz w:val="27"/>
          <w:szCs w:val="27"/>
          <w:lang w:eastAsia="tr-TR"/>
        </w:rPr>
        <w:t xml:space="preserve"> artırılması yoluyla, atmosferdeki sera gazı konsantrasyonlarının iklim sistemine tehlikeli insan kaynaklı müdahaleyi önleyecek bir düzeyde sabitlenmesine önemli ölçüde katkıda bulunduğu takdirde, iklim değişikliğinin hafifletilmesine önemli ölçüde katkıda bulunmuş sayılır: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(AB) 2018/2001 sayılı Direktif uyarınca yenilenebilir enerji üretmek, iletmek, depolamak, dağıtmak veya kullanmak, önemli gelecek tasarrufları sağlama potansiyeli olan yenilikçi teknolojiyi kullanmak veya şebekenin gerekli şekilde güçlendirilmesi veya genişletilmesi yoluyla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Madde 19(3)'te belirtilen güç üretim faaliyetleri hariç olmak üzere enerji verimliliğinin artırılması;</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501"/>
        <w:gridCol w:w="8571"/>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temiz veya iklim açısından </w:t>
            </w:r>
            <w:proofErr w:type="gramStart"/>
            <w:r w:rsidRPr="001C701D">
              <w:rPr>
                <w:rFonts w:ascii="Times New Roman" w:eastAsia="Times New Roman" w:hAnsi="Times New Roman" w:cs="Times New Roman"/>
                <w:sz w:val="24"/>
                <w:szCs w:val="24"/>
                <w:lang w:eastAsia="tr-TR"/>
              </w:rPr>
              <w:t>nötr</w:t>
            </w:r>
            <w:proofErr w:type="gramEnd"/>
            <w:r w:rsidRPr="001C701D">
              <w:rPr>
                <w:rFonts w:ascii="Times New Roman" w:eastAsia="Times New Roman" w:hAnsi="Times New Roman" w:cs="Times New Roman"/>
                <w:sz w:val="24"/>
                <w:szCs w:val="24"/>
                <w:lang w:eastAsia="tr-TR"/>
              </w:rPr>
              <w:t xml:space="preserve"> hareketliliğin artırılması;</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433"/>
        <w:gridCol w:w="8639"/>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sürdürülebilir</w:t>
            </w:r>
            <w:proofErr w:type="gramEnd"/>
            <w:r w:rsidRPr="001C701D">
              <w:rPr>
                <w:rFonts w:ascii="Times New Roman" w:eastAsia="Times New Roman" w:hAnsi="Times New Roman" w:cs="Times New Roman"/>
                <w:sz w:val="24"/>
                <w:szCs w:val="24"/>
                <w:lang w:eastAsia="tr-TR"/>
              </w:rPr>
              <w:t xml:space="preserve"> kaynaklı yenilenebilir malzemelerin kullanımına geçiş;</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67"/>
        <w:gridCol w:w="880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sera</w:t>
            </w:r>
            <w:proofErr w:type="gramEnd"/>
            <w:r w:rsidRPr="001C701D">
              <w:rPr>
                <w:rFonts w:ascii="Times New Roman" w:eastAsia="Times New Roman" w:hAnsi="Times New Roman" w:cs="Times New Roman"/>
                <w:sz w:val="24"/>
                <w:szCs w:val="24"/>
                <w:lang w:eastAsia="tr-TR"/>
              </w:rPr>
              <w:t xml:space="preserve"> gazı emisyonlarında net bir azalma sağlayan çevresel olarak güvenli karbon yakalama ve kullanma (CCU) ve karbon yakalama ve depolama (CCS) teknolojilerinin kullanımının artırılması;</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94"/>
        <w:gridCol w:w="877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(F)</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ormansızlaşma</w:t>
            </w:r>
            <w:proofErr w:type="gramEnd"/>
            <w:r w:rsidRPr="001C701D">
              <w:rPr>
                <w:rFonts w:ascii="Times New Roman" w:eastAsia="Times New Roman" w:hAnsi="Times New Roman" w:cs="Times New Roman"/>
                <w:sz w:val="24"/>
                <w:szCs w:val="24"/>
                <w:lang w:eastAsia="tr-TR"/>
              </w:rPr>
              <w:t xml:space="preserve"> ve orman bozulmasının önlenmesi, ormanların yeniden canlandırılması, tarım arazilerinin, otlakların ve sulak alanların sürdürülebilir yönetimi ve yeniden canlandırılması, ağaçlandırma ve yenileyici tarım dahil olmak üzere arazi karbon tutucularının güçlendirilmesi;</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(G)</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Enerji sistemlerinin </w:t>
            </w:r>
            <w:proofErr w:type="spellStart"/>
            <w:r w:rsidRPr="001C701D">
              <w:rPr>
                <w:rFonts w:ascii="Times New Roman" w:eastAsia="Times New Roman" w:hAnsi="Times New Roman" w:cs="Times New Roman"/>
                <w:sz w:val="24"/>
                <w:szCs w:val="24"/>
                <w:lang w:eastAsia="tr-TR"/>
              </w:rPr>
              <w:t>karbonsuzlaştırılmasını</w:t>
            </w:r>
            <w:proofErr w:type="spellEnd"/>
            <w:r w:rsidRPr="001C701D">
              <w:rPr>
                <w:rFonts w:ascii="Times New Roman" w:eastAsia="Times New Roman" w:hAnsi="Times New Roman" w:cs="Times New Roman"/>
                <w:sz w:val="24"/>
                <w:szCs w:val="24"/>
                <w:lang w:eastAsia="tr-TR"/>
              </w:rPr>
              <w:t xml:space="preserve"> mümkün kılmak için gerekli enerji altyapısının kurulması;</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59"/>
        <w:gridCol w:w="8713"/>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(H)</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yenilenebilir veya karbon </w:t>
            </w:r>
            <w:proofErr w:type="gramStart"/>
            <w:r w:rsidRPr="001C701D">
              <w:rPr>
                <w:rFonts w:ascii="Times New Roman" w:eastAsia="Times New Roman" w:hAnsi="Times New Roman" w:cs="Times New Roman"/>
                <w:sz w:val="24"/>
                <w:szCs w:val="24"/>
                <w:lang w:eastAsia="tr-TR"/>
              </w:rPr>
              <w:t>nötr</w:t>
            </w:r>
            <w:proofErr w:type="gramEnd"/>
            <w:r w:rsidRPr="001C701D">
              <w:rPr>
                <w:rFonts w:ascii="Times New Roman" w:eastAsia="Times New Roman" w:hAnsi="Times New Roman" w:cs="Times New Roman"/>
                <w:sz w:val="24"/>
                <w:szCs w:val="24"/>
                <w:lang w:eastAsia="tr-TR"/>
              </w:rPr>
              <w:t xml:space="preserve"> kaynaklardan temiz ve verimli yakıtlar üretmek; veya</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547"/>
        <w:gridCol w:w="852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(Ben)</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fıkranın (a) ila (h) bentlerinde sıralanan faaliyetlerden herhangi birinin 16 </w:t>
            </w:r>
            <w:proofErr w:type="spellStart"/>
            <w:r w:rsidRPr="001C701D">
              <w:rPr>
                <w:rFonts w:ascii="Times New Roman" w:eastAsia="Times New Roman" w:hAnsi="Times New Roman" w:cs="Times New Roman"/>
                <w:sz w:val="24"/>
                <w:szCs w:val="24"/>
                <w:lang w:eastAsia="tr-TR"/>
              </w:rPr>
              <w:t>ncı</w:t>
            </w:r>
            <w:proofErr w:type="spellEnd"/>
            <w:r w:rsidRPr="001C701D">
              <w:rPr>
                <w:rFonts w:ascii="Times New Roman" w:eastAsia="Times New Roman" w:hAnsi="Times New Roman" w:cs="Times New Roman"/>
                <w:sz w:val="24"/>
                <w:szCs w:val="24"/>
                <w:lang w:eastAsia="tr-TR"/>
              </w:rPr>
              <w:t xml:space="preserve"> maddeye uygun olarak etkinleştirilmesi.</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2. 1. paragrafın amaçları doğrultusunda, teknolojik ve ekonomik olarak uygulanabilir düşük karbonlu bir alternatifi bulunmayan bir ekonomik faaliyet, sera gazı emisyonlarını, özellikle katı fosil yakıtlardan kaynaklanan emisyonları aşamalı olarak ortadan kaldırarak, sıcaklık artışını sanayi öncesi seviyelerin 1,5 </w:t>
      </w:r>
      <w:r w:rsidRPr="001C701D">
        <w:rPr>
          <w:rFonts w:ascii="Times New Roman" w:eastAsia="Times New Roman" w:hAnsi="Times New Roman" w:cs="Times New Roman"/>
          <w:color w:val="333333"/>
          <w:sz w:val="19"/>
          <w:szCs w:val="19"/>
          <w:vertAlign w:val="superscript"/>
          <w:lang w:eastAsia="tr-TR"/>
        </w:rPr>
        <w:t>°</w:t>
      </w:r>
      <w:r w:rsidRPr="001C701D">
        <w:rPr>
          <w:rFonts w:ascii="Times New Roman" w:eastAsia="Times New Roman" w:hAnsi="Times New Roman" w:cs="Times New Roman"/>
          <w:color w:val="333333"/>
          <w:sz w:val="27"/>
          <w:szCs w:val="27"/>
          <w:lang w:eastAsia="tr-TR"/>
        </w:rPr>
        <w:t xml:space="preserve"> C üzerinde sınırlamaya yönelik bir yolla uyumlu olarak iklim açısından </w:t>
      </w:r>
      <w:proofErr w:type="gramStart"/>
      <w:r w:rsidRPr="001C701D">
        <w:rPr>
          <w:rFonts w:ascii="Times New Roman" w:eastAsia="Times New Roman" w:hAnsi="Times New Roman" w:cs="Times New Roman"/>
          <w:color w:val="333333"/>
          <w:sz w:val="27"/>
          <w:szCs w:val="27"/>
          <w:lang w:eastAsia="tr-TR"/>
        </w:rPr>
        <w:t>nötr</w:t>
      </w:r>
      <w:proofErr w:type="gramEnd"/>
      <w:r w:rsidRPr="001C701D">
        <w:rPr>
          <w:rFonts w:ascii="Times New Roman" w:eastAsia="Times New Roman" w:hAnsi="Times New Roman" w:cs="Times New Roman"/>
          <w:color w:val="333333"/>
          <w:sz w:val="27"/>
          <w:szCs w:val="27"/>
          <w:lang w:eastAsia="tr-TR"/>
        </w:rPr>
        <w:t xml:space="preserve"> bir ekonomiye geçişi desteklediği ve bu faaliyetin aşağıdaki durumlarda iklim değişikliğinin azaltılmasına önemli ölçüde katkıda bulunduğu kabul edilir: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Sektör veya endüstride en iyi performansa karşılık gelen sera gazı </w:t>
            </w:r>
            <w:proofErr w:type="gramStart"/>
            <w:r w:rsidRPr="001C701D">
              <w:rPr>
                <w:rFonts w:ascii="Times New Roman" w:eastAsia="Times New Roman" w:hAnsi="Times New Roman" w:cs="Times New Roman"/>
                <w:sz w:val="24"/>
                <w:szCs w:val="24"/>
                <w:lang w:eastAsia="tr-TR"/>
              </w:rPr>
              <w:t>emisyon</w:t>
            </w:r>
            <w:proofErr w:type="gramEnd"/>
            <w:r w:rsidRPr="001C701D">
              <w:rPr>
                <w:rFonts w:ascii="Times New Roman" w:eastAsia="Times New Roman" w:hAnsi="Times New Roman" w:cs="Times New Roman"/>
                <w:sz w:val="24"/>
                <w:szCs w:val="24"/>
                <w:lang w:eastAsia="tr-TR"/>
              </w:rPr>
              <w:t xml:space="preserve"> seviyelerine sahiptir;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44"/>
        <w:gridCol w:w="872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düşük</w:t>
            </w:r>
            <w:proofErr w:type="gramEnd"/>
            <w:r w:rsidRPr="001C701D">
              <w:rPr>
                <w:rFonts w:ascii="Times New Roman" w:eastAsia="Times New Roman" w:hAnsi="Times New Roman" w:cs="Times New Roman"/>
                <w:sz w:val="24"/>
                <w:szCs w:val="24"/>
                <w:lang w:eastAsia="tr-TR"/>
              </w:rPr>
              <w:t xml:space="preserve"> karbonlu alternatiflerin geliştirilmesini ve yaygınlaştırılmasını engellemez; ve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Bu durum, karbon yoğunluğu yüksek varlıkların ekonomik ömürleri göz önüne alındığında, bu varlıkların kilitlenmesine yol açmaz.</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Bu paragrafın amacı ve 19. Madde uyarınca teknik tarama </w:t>
      </w:r>
      <w:proofErr w:type="gramStart"/>
      <w:r w:rsidRPr="001C701D">
        <w:rPr>
          <w:rFonts w:ascii="Times New Roman" w:eastAsia="Times New Roman" w:hAnsi="Times New Roman" w:cs="Times New Roman"/>
          <w:color w:val="333333"/>
          <w:sz w:val="27"/>
          <w:szCs w:val="27"/>
          <w:lang w:eastAsia="tr-TR"/>
        </w:rPr>
        <w:t>kriterlerinin</w:t>
      </w:r>
      <w:proofErr w:type="gramEnd"/>
      <w:r w:rsidRPr="001C701D">
        <w:rPr>
          <w:rFonts w:ascii="Times New Roman" w:eastAsia="Times New Roman" w:hAnsi="Times New Roman" w:cs="Times New Roman"/>
          <w:color w:val="333333"/>
          <w:sz w:val="27"/>
          <w:szCs w:val="27"/>
          <w:lang w:eastAsia="tr-TR"/>
        </w:rPr>
        <w:t xml:space="preserve"> belirlenmesi için Komisyon, ilgili tüm mevcut teknolojilerin potansiyel katkısını ve uygulanabilirliğini değerlendirecektir.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3. Komisyon, 23. madde uyarınca aşağıdakileri yapmak üzere bir yetki devri kararı kabul eder: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Maddenin 1 ve 2. paragraflarını, belirli bir ekonomik faaliyetin iklim değişikliğinin azaltılmasına önemli ölçüde katkıda bulunacak nitelikte olduğu koşulların belirlenmesi için teknik tarama kriterleri oluşturarak </w:t>
            </w:r>
            <w:proofErr w:type="gramStart"/>
            <w:r w:rsidRPr="001C701D">
              <w:rPr>
                <w:rFonts w:ascii="Times New Roman" w:eastAsia="Times New Roman" w:hAnsi="Times New Roman" w:cs="Times New Roman"/>
                <w:sz w:val="24"/>
                <w:szCs w:val="24"/>
                <w:lang w:eastAsia="tr-TR"/>
              </w:rPr>
              <w:t>desteklemek;</w:t>
            </w:r>
            <w:proofErr w:type="gramEnd"/>
            <w:r w:rsidRPr="001C701D">
              <w:rPr>
                <w:rFonts w:ascii="Times New Roman" w:eastAsia="Times New Roman" w:hAnsi="Times New Roman" w:cs="Times New Roman"/>
                <w:sz w:val="24"/>
                <w:szCs w:val="24"/>
                <w:lang w:eastAsia="tr-TR"/>
              </w:rPr>
              <w:t xml:space="preserve"> ve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Madde 17'yi, bu paragrafın (a) bendi uyarınca teknik tarama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belirlenen bir ekonomik faaliyetin, söz konusu hedeflerden bir veya daha fazlasına önemli zarar verip vermediğinin belirlenmesi için, her bir ilgili çevresel hedef için teknik tarama kriterleri belirleyerek tamamlar.</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4. Komisyon, bu maddenin 3 üncü fıkrasında sözü edilen yetki devrine dayalı işlemi kabul etmeden önce, bu maddenin 3 üncü fıkrasında sözü edilen teknik tarama </w:t>
      </w:r>
      <w:proofErr w:type="gramStart"/>
      <w:r w:rsidRPr="001C701D">
        <w:rPr>
          <w:rFonts w:ascii="Times New Roman" w:eastAsia="Times New Roman" w:hAnsi="Times New Roman" w:cs="Times New Roman"/>
          <w:color w:val="333333"/>
          <w:sz w:val="27"/>
          <w:szCs w:val="27"/>
          <w:lang w:eastAsia="tr-TR"/>
        </w:rPr>
        <w:t>kriterleri</w:t>
      </w:r>
      <w:proofErr w:type="gramEnd"/>
      <w:r w:rsidRPr="001C701D">
        <w:rPr>
          <w:rFonts w:ascii="Times New Roman" w:eastAsia="Times New Roman" w:hAnsi="Times New Roman" w:cs="Times New Roman"/>
          <w:color w:val="333333"/>
          <w:sz w:val="27"/>
          <w:szCs w:val="27"/>
          <w:lang w:eastAsia="tr-TR"/>
        </w:rPr>
        <w:t xml:space="preserve"> hakkında 20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maddede sözü edilen Platforma danışır.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5. Komisyon, bu maddenin 3 üncü fıkrasında belirtilen teknik tarama </w:t>
      </w:r>
      <w:proofErr w:type="gramStart"/>
      <w:r w:rsidRPr="001C701D">
        <w:rPr>
          <w:rFonts w:ascii="Times New Roman" w:eastAsia="Times New Roman" w:hAnsi="Times New Roman" w:cs="Times New Roman"/>
          <w:color w:val="333333"/>
          <w:sz w:val="27"/>
          <w:szCs w:val="27"/>
          <w:lang w:eastAsia="tr-TR"/>
        </w:rPr>
        <w:t>kriterlerini</w:t>
      </w:r>
      <w:proofErr w:type="gramEnd"/>
      <w:r w:rsidRPr="001C701D">
        <w:rPr>
          <w:rFonts w:ascii="Times New Roman" w:eastAsia="Times New Roman" w:hAnsi="Times New Roman" w:cs="Times New Roman"/>
          <w:color w:val="333333"/>
          <w:sz w:val="27"/>
          <w:szCs w:val="27"/>
          <w:lang w:eastAsia="tr-TR"/>
        </w:rPr>
        <w:t>, 19 uncu maddenin gereklerini dikkate alarak tek bir yetki devriyle belirlenir.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6. Komisyon, 3. paragrafta sözü edilen devredilmiş düzenlemeyi, 1 Ocak 2022 tarihinden itibaren uygulanmasını sağlamak amacıyla 31 Aralık 2020 tarihine kadar kabul edecektir.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11</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İklim değişikliğine uyum sağlamada önemli katkı</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1. Bir ekonomik faaliyet, aşağıdaki durumlarda iklim değişikliğine uyum sağlamaya önemli ölçüde katkıda bulunmuş sayılır: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Mevcut iklimin ve beklenen gelecekteki iklimin söz konusu ekonomik faaliyet üzerindeki olumsuz etki riskini önemli ölçüde azaltan veya insanlara, doğaya veya varlıklara olumsuz etki riskini artırmadan bu olumsuz etkiyi önemli ölçüde azaltan uyum çözümlerini </w:t>
            </w:r>
            <w:proofErr w:type="gramStart"/>
            <w:r w:rsidRPr="001C701D">
              <w:rPr>
                <w:rFonts w:ascii="Times New Roman" w:eastAsia="Times New Roman" w:hAnsi="Times New Roman" w:cs="Times New Roman"/>
                <w:sz w:val="24"/>
                <w:szCs w:val="24"/>
                <w:lang w:eastAsia="tr-TR"/>
              </w:rPr>
              <w:t>içerir;</w:t>
            </w:r>
            <w:proofErr w:type="gramEnd"/>
            <w:r w:rsidRPr="001C701D">
              <w:rPr>
                <w:rFonts w:ascii="Times New Roman" w:eastAsia="Times New Roman" w:hAnsi="Times New Roman" w:cs="Times New Roman"/>
                <w:sz w:val="24"/>
                <w:szCs w:val="24"/>
                <w:lang w:eastAsia="tr-TR"/>
              </w:rPr>
              <w:t xml:space="preserve"> veya</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Madde 16'da belirtilen koşulları sağlamanın yanı sıra, mevcut iklimin ve beklenen gelecekteki iklimin insanlar, doğa veya varlıklar üzerindeki olumsuz etkilerinin önlenmesine veya azaltılmasına önemli ölçüde katkıda bulunan, ancak diğer insanlar, doğa veya varlıklar üzerinde olumsuz etki riskini artırmayan uyum çözümleri sağlar.</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lastRenderedPageBreak/>
        <w:t xml:space="preserve">2. 1. paragrafın (a) noktasında sözü edilen uyum çözümleri, mevcut en iyi iklim </w:t>
      </w:r>
      <w:proofErr w:type="gramStart"/>
      <w:r w:rsidRPr="001C701D">
        <w:rPr>
          <w:rFonts w:ascii="Times New Roman" w:eastAsia="Times New Roman" w:hAnsi="Times New Roman" w:cs="Times New Roman"/>
          <w:color w:val="333333"/>
          <w:sz w:val="27"/>
          <w:szCs w:val="27"/>
          <w:lang w:eastAsia="tr-TR"/>
        </w:rPr>
        <w:t>projeksiyonları</w:t>
      </w:r>
      <w:proofErr w:type="gramEnd"/>
      <w:r w:rsidRPr="001C701D">
        <w:rPr>
          <w:rFonts w:ascii="Times New Roman" w:eastAsia="Times New Roman" w:hAnsi="Times New Roman" w:cs="Times New Roman"/>
          <w:color w:val="333333"/>
          <w:sz w:val="27"/>
          <w:szCs w:val="27"/>
          <w:lang w:eastAsia="tr-TR"/>
        </w:rPr>
        <w:t xml:space="preserve"> kullanılarak öncelik sırasına göre değerlendirilecek ve sıralanacak ve en azından şunları önleyecek veya azaltacaktır: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iklim</w:t>
            </w:r>
            <w:proofErr w:type="gramEnd"/>
            <w:r w:rsidRPr="001C701D">
              <w:rPr>
                <w:rFonts w:ascii="Times New Roman" w:eastAsia="Times New Roman" w:hAnsi="Times New Roman" w:cs="Times New Roman"/>
                <w:sz w:val="24"/>
                <w:szCs w:val="24"/>
                <w:lang w:eastAsia="tr-TR"/>
              </w:rPr>
              <w:t xml:space="preserve"> değişikliğinin ekonomik faaliyet üzerindeki konum ve bağlam özelindeki olumsuz etkisi; veya</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Ekonomik faaliyetin gerçekleştiği çevre üzerinde iklim değişikliğinin potansiyel olumsuz etkisi.</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3. Komisyon, 23. madde uyarınca aşağıdakileri yapmak üzere bir yetki devri kararı kabul eder: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Maddenin 1 ve 2. paragraflarını, belirli bir ekonomik faaliyetin iklim değişikliğine uyum sağlamaya önemli ölçüde katkıda bulunacak şekilde nitelendirilmesi için koşulların belirlenmesine yönelik teknik tarama kriterleri oluşturarak </w:t>
            </w:r>
            <w:proofErr w:type="gramStart"/>
            <w:r w:rsidRPr="001C701D">
              <w:rPr>
                <w:rFonts w:ascii="Times New Roman" w:eastAsia="Times New Roman" w:hAnsi="Times New Roman" w:cs="Times New Roman"/>
                <w:sz w:val="24"/>
                <w:szCs w:val="24"/>
                <w:lang w:eastAsia="tr-TR"/>
              </w:rPr>
              <w:t>desteklemek;</w:t>
            </w:r>
            <w:proofErr w:type="gramEnd"/>
            <w:r w:rsidRPr="001C701D">
              <w:rPr>
                <w:rFonts w:ascii="Times New Roman" w:eastAsia="Times New Roman" w:hAnsi="Times New Roman" w:cs="Times New Roman"/>
                <w:sz w:val="24"/>
                <w:szCs w:val="24"/>
                <w:lang w:eastAsia="tr-TR"/>
              </w:rPr>
              <w:t xml:space="preserve"> ve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Madde 17'yi, bu paragrafın (a) bendi uyarınca teknik tarama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belirlenen bir ekonomik faaliyetin, söz konusu hedeflerden bir veya daha fazlasına önemli zarar verip vermediğinin belirlenmesi için, her bir ilgili çevresel hedef için teknik tarama kriterleri belirleyerek tamamlar.</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4. Komisyon, bu maddenin 3 üncü fıkrasında sözü edilen yetki devrine dayalı işlemi kabul etmeden önce, bu maddenin 3 üncü fıkrasında sözü edilen teknik tarama </w:t>
      </w:r>
      <w:proofErr w:type="gramStart"/>
      <w:r w:rsidRPr="001C701D">
        <w:rPr>
          <w:rFonts w:ascii="Times New Roman" w:eastAsia="Times New Roman" w:hAnsi="Times New Roman" w:cs="Times New Roman"/>
          <w:color w:val="333333"/>
          <w:sz w:val="27"/>
          <w:szCs w:val="27"/>
          <w:lang w:eastAsia="tr-TR"/>
        </w:rPr>
        <w:t>kriterleri</w:t>
      </w:r>
      <w:proofErr w:type="gramEnd"/>
      <w:r w:rsidRPr="001C701D">
        <w:rPr>
          <w:rFonts w:ascii="Times New Roman" w:eastAsia="Times New Roman" w:hAnsi="Times New Roman" w:cs="Times New Roman"/>
          <w:color w:val="333333"/>
          <w:sz w:val="27"/>
          <w:szCs w:val="27"/>
          <w:lang w:eastAsia="tr-TR"/>
        </w:rPr>
        <w:t xml:space="preserve"> hakkında 20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maddede sözü edilen Platforma danışır.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5. Komisyon, bu maddenin 3 üncü fıkrasında belirtilen teknik tarama </w:t>
      </w:r>
      <w:proofErr w:type="gramStart"/>
      <w:r w:rsidRPr="001C701D">
        <w:rPr>
          <w:rFonts w:ascii="Times New Roman" w:eastAsia="Times New Roman" w:hAnsi="Times New Roman" w:cs="Times New Roman"/>
          <w:color w:val="333333"/>
          <w:sz w:val="27"/>
          <w:szCs w:val="27"/>
          <w:lang w:eastAsia="tr-TR"/>
        </w:rPr>
        <w:t>kriterlerini</w:t>
      </w:r>
      <w:proofErr w:type="gramEnd"/>
      <w:r w:rsidRPr="001C701D">
        <w:rPr>
          <w:rFonts w:ascii="Times New Roman" w:eastAsia="Times New Roman" w:hAnsi="Times New Roman" w:cs="Times New Roman"/>
          <w:color w:val="333333"/>
          <w:sz w:val="27"/>
          <w:szCs w:val="27"/>
          <w:lang w:eastAsia="tr-TR"/>
        </w:rPr>
        <w:t>, 19 uncu maddenin gereklerini dikkate alarak tek bir yetki devriyle belirlenir.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6. Komisyon, 3. paragrafta sözü edilen devredilmiş düzenlemeyi, 1 Ocak 2022 tarihinden itibaren uygulanmasını sağlamak amacıyla 31 Aralık 2020 tarihine kadar kabul edecektir.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12</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Su ve deniz kaynaklarının sürdürülebilir kullanımına ve korunmasına önemli katkı</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1. Bir ekonomik faaliyet, yüzey suları ve yeraltı suları da </w:t>
      </w:r>
      <w:proofErr w:type="gramStart"/>
      <w:r w:rsidRPr="001C701D">
        <w:rPr>
          <w:rFonts w:ascii="Times New Roman" w:eastAsia="Times New Roman" w:hAnsi="Times New Roman" w:cs="Times New Roman"/>
          <w:color w:val="333333"/>
          <w:sz w:val="27"/>
          <w:szCs w:val="27"/>
          <w:lang w:eastAsia="tr-TR"/>
        </w:rPr>
        <w:t>dahil</w:t>
      </w:r>
      <w:proofErr w:type="gramEnd"/>
      <w:r w:rsidRPr="001C701D">
        <w:rPr>
          <w:rFonts w:ascii="Times New Roman" w:eastAsia="Times New Roman" w:hAnsi="Times New Roman" w:cs="Times New Roman"/>
          <w:color w:val="333333"/>
          <w:sz w:val="27"/>
          <w:szCs w:val="27"/>
          <w:lang w:eastAsia="tr-TR"/>
        </w:rPr>
        <w:t xml:space="preserve"> olmak üzere su kütlelerinin iyi duruma getirilmesine veya halihazırda iyi durumda olan su kütlelerinin bozulmasını önlemeye önemli ölçüde katkıda bulunduğu veya deniz sularının iyi çevresel duruma getirilmesine veya halihazırda iyi çevresel durumda olan deniz sularının bozulmasını önlemeye önemli ölçüde katkıda bulunduğu takdirde, su ve deniz kaynaklarının sürdürülebilir kullanımına ve korunmasına önemli ölçüde katkıda bulunmuş sayılır: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Örneğin, kentsel ve endüstriyel atık su deşarjlarının uygun şekilde toplanmasını, arıtılmasını ve deşarj edilmesini sağlayarak, </w:t>
            </w:r>
            <w:proofErr w:type="spellStart"/>
            <w:r w:rsidRPr="001C701D">
              <w:rPr>
                <w:rFonts w:ascii="Times New Roman" w:eastAsia="Times New Roman" w:hAnsi="Times New Roman" w:cs="Times New Roman"/>
                <w:sz w:val="24"/>
                <w:szCs w:val="24"/>
                <w:lang w:eastAsia="tr-TR"/>
              </w:rPr>
              <w:t>farmasötikler</w:t>
            </w:r>
            <w:proofErr w:type="spellEnd"/>
            <w:r w:rsidRPr="001C701D">
              <w:rPr>
                <w:rFonts w:ascii="Times New Roman" w:eastAsia="Times New Roman" w:hAnsi="Times New Roman" w:cs="Times New Roman"/>
                <w:sz w:val="24"/>
                <w:szCs w:val="24"/>
                <w:lang w:eastAsia="tr-TR"/>
              </w:rPr>
              <w:t xml:space="preserve"> ve </w:t>
            </w:r>
            <w:proofErr w:type="spellStart"/>
            <w:r w:rsidRPr="001C701D">
              <w:rPr>
                <w:rFonts w:ascii="Times New Roman" w:eastAsia="Times New Roman" w:hAnsi="Times New Roman" w:cs="Times New Roman"/>
                <w:sz w:val="24"/>
                <w:szCs w:val="24"/>
                <w:lang w:eastAsia="tr-TR"/>
              </w:rPr>
              <w:t>mikroplastikler</w:t>
            </w:r>
            <w:proofErr w:type="spellEnd"/>
            <w:r w:rsidRPr="001C701D">
              <w:rPr>
                <w:rFonts w:ascii="Times New Roman" w:eastAsia="Times New Roman" w:hAnsi="Times New Roman" w:cs="Times New Roman"/>
                <w:sz w:val="24"/>
                <w:szCs w:val="24"/>
                <w:lang w:eastAsia="tr-TR"/>
              </w:rPr>
              <w:t xml:space="preserve"> gibi yeni ortaya çıkan endişe verici kirleticiler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kentsel ve endüstriyel atık su deşarjlarının olumsuz etkilerinden çevreyi korumak;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İnsan tüketimine yönelik suyun, insan sağlığına tehlike oluşturabilecek her türlü mikroorganizma, parazit ve maddeden arındırılmış olmasını sağlayarak, bu suyun kirlenmesinin olumsuz etkilerinden insan sağlığını korumak ve insanların temiz içme suyuna erişimini artırmak;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su</w:t>
            </w:r>
            <w:proofErr w:type="gramEnd"/>
            <w:r w:rsidRPr="001C701D">
              <w:rPr>
                <w:rFonts w:ascii="Times New Roman" w:eastAsia="Times New Roman" w:hAnsi="Times New Roman" w:cs="Times New Roman"/>
                <w:sz w:val="24"/>
                <w:szCs w:val="24"/>
                <w:lang w:eastAsia="tr-TR"/>
              </w:rPr>
              <w:t xml:space="preserve"> yönetimini ve verimliliğini iyileştirmek, su ekosistemlerinin durumunu korumak ve geliştirmek, mevcut su kaynaklarının uzun vadeli korunması yoluyla suyun sürdürülebilir kullanımını teşvik etmek, özellikle suyun yeniden kullanımı gibi önlemler yoluyla, yüzey sularına ve yeraltı sularına kirletici emisyonlarının kademeli olarak azaltılmasını sağlayarak, sel ve kuraklık etkilerinin azaltılmasına katkıda bulunarak veya su kütlelerinin niteliksel ve niceliksel durumunu koruyan veya iyileştiren herhangi bir başka faaliyet yoluyla;</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deniz</w:t>
            </w:r>
            <w:proofErr w:type="gramEnd"/>
            <w:r w:rsidRPr="001C701D">
              <w:rPr>
                <w:rFonts w:ascii="Times New Roman" w:eastAsia="Times New Roman" w:hAnsi="Times New Roman" w:cs="Times New Roman"/>
                <w:sz w:val="24"/>
                <w:szCs w:val="24"/>
                <w:lang w:eastAsia="tr-TR"/>
              </w:rPr>
              <w:t xml:space="preserve"> ekosistemi hizmetlerinin sürdürülebilir kullanımını sağlamak veya deniz ortamını korumak, muhafaza etmek veya eski haline getirmek ve deniz ortamına olan girdileri önlemek veya azaltmak da dahil olmak üzere deniz sularının iyi çevresel durumuna katkıda bulunmak; veya</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67"/>
        <w:gridCol w:w="880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fıkranın (a) ila (d) bentlerinde sıralanan faaliyetlerden herhangi birinin 16 </w:t>
            </w:r>
            <w:proofErr w:type="spellStart"/>
            <w:r w:rsidRPr="001C701D">
              <w:rPr>
                <w:rFonts w:ascii="Times New Roman" w:eastAsia="Times New Roman" w:hAnsi="Times New Roman" w:cs="Times New Roman"/>
                <w:sz w:val="24"/>
                <w:szCs w:val="24"/>
                <w:lang w:eastAsia="tr-TR"/>
              </w:rPr>
              <w:t>ncı</w:t>
            </w:r>
            <w:proofErr w:type="spellEnd"/>
            <w:r w:rsidRPr="001C701D">
              <w:rPr>
                <w:rFonts w:ascii="Times New Roman" w:eastAsia="Times New Roman" w:hAnsi="Times New Roman" w:cs="Times New Roman"/>
                <w:sz w:val="24"/>
                <w:szCs w:val="24"/>
                <w:lang w:eastAsia="tr-TR"/>
              </w:rPr>
              <w:t xml:space="preserve"> maddeye uygun olarak gerçekleştirilmesini sağlamak.</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2. Komisyon, 23. madde uyarınca aşağıdakileri yapmak üzere bir yetki devri kararı kabul eder: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Maddenin 1. paragrafını, belirli bir ekonomik faaliyetin su ve deniz kaynaklarının sürdürülebilir kullanımına ve korunmasına önemli ölçüde katkıda bulunacak nitelikte olduğu koşulların belirlenmesi için teknik tarama kriterleri oluşturarak </w:t>
            </w:r>
            <w:proofErr w:type="gramStart"/>
            <w:r w:rsidRPr="001C701D">
              <w:rPr>
                <w:rFonts w:ascii="Times New Roman" w:eastAsia="Times New Roman" w:hAnsi="Times New Roman" w:cs="Times New Roman"/>
                <w:sz w:val="24"/>
                <w:szCs w:val="24"/>
                <w:lang w:eastAsia="tr-TR"/>
              </w:rPr>
              <w:t>tamamlamak;</w:t>
            </w:r>
            <w:proofErr w:type="gramEnd"/>
            <w:r w:rsidRPr="001C701D">
              <w:rPr>
                <w:rFonts w:ascii="Times New Roman" w:eastAsia="Times New Roman" w:hAnsi="Times New Roman" w:cs="Times New Roman"/>
                <w:sz w:val="24"/>
                <w:szCs w:val="24"/>
                <w:lang w:eastAsia="tr-TR"/>
              </w:rPr>
              <w:t xml:space="preserve"> ve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Madde 17'yi, bu fıkranın (a) bendi uyarınca teknik tarama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belirlenen bir ekonomik faaliyetin, söz konusu hedeflerden bir veya daha fazlasına önemli zarar verip vermediğinin belirlenmesi amacıyla, her bir ilgili çevresel hedef için teknik tarama kriterleri belirleyerek tamamlar.</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3. Komisyon, bu maddenin 2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fıkrasında sözü edilen yetki devrine dayalı işlemi kabul etmeden önce, bu maddenin 2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fıkrasında sözü edilen teknik tarama </w:t>
      </w:r>
      <w:proofErr w:type="gramStart"/>
      <w:r w:rsidRPr="001C701D">
        <w:rPr>
          <w:rFonts w:ascii="Times New Roman" w:eastAsia="Times New Roman" w:hAnsi="Times New Roman" w:cs="Times New Roman"/>
          <w:color w:val="333333"/>
          <w:sz w:val="27"/>
          <w:szCs w:val="27"/>
          <w:lang w:eastAsia="tr-TR"/>
        </w:rPr>
        <w:t>kriterleri</w:t>
      </w:r>
      <w:proofErr w:type="gramEnd"/>
      <w:r w:rsidRPr="001C701D">
        <w:rPr>
          <w:rFonts w:ascii="Times New Roman" w:eastAsia="Times New Roman" w:hAnsi="Times New Roman" w:cs="Times New Roman"/>
          <w:color w:val="333333"/>
          <w:sz w:val="27"/>
          <w:szCs w:val="27"/>
          <w:lang w:eastAsia="tr-TR"/>
        </w:rPr>
        <w:t xml:space="preserve"> hakkında 20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maddede sözü edilen Platforma danışır.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4. Komisyon, bu maddenin 2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fıkrasında belirtilen teknik tarama </w:t>
      </w:r>
      <w:proofErr w:type="gramStart"/>
      <w:r w:rsidRPr="001C701D">
        <w:rPr>
          <w:rFonts w:ascii="Times New Roman" w:eastAsia="Times New Roman" w:hAnsi="Times New Roman" w:cs="Times New Roman"/>
          <w:color w:val="333333"/>
          <w:sz w:val="27"/>
          <w:szCs w:val="27"/>
          <w:lang w:eastAsia="tr-TR"/>
        </w:rPr>
        <w:t>kriterlerini</w:t>
      </w:r>
      <w:proofErr w:type="gramEnd"/>
      <w:r w:rsidRPr="001C701D">
        <w:rPr>
          <w:rFonts w:ascii="Times New Roman" w:eastAsia="Times New Roman" w:hAnsi="Times New Roman" w:cs="Times New Roman"/>
          <w:color w:val="333333"/>
          <w:sz w:val="27"/>
          <w:szCs w:val="27"/>
          <w:lang w:eastAsia="tr-TR"/>
        </w:rPr>
        <w:t>, 19 uncu maddenin gereklerini dikkate alarak tek bir yetki devriyle belirlenir.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5. Komisyon, 2. paragrafta sözü edilen devredilmiş düzenlemeyi, 1 Ocak 2023 tarihinden itibaren uygulanmasını sağlamak amacıyla 31 Aralık 2021 tarihine kadar kabul edecektir.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13</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Dairesel ekonomiye geçişe önemli katkı</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1. Bir ekonomik faaliyet, atık önleme, yeniden kullanım ve geri dönüşüm </w:t>
      </w:r>
      <w:proofErr w:type="gramStart"/>
      <w:r w:rsidRPr="001C701D">
        <w:rPr>
          <w:rFonts w:ascii="Times New Roman" w:eastAsia="Times New Roman" w:hAnsi="Times New Roman" w:cs="Times New Roman"/>
          <w:color w:val="333333"/>
          <w:sz w:val="27"/>
          <w:szCs w:val="27"/>
          <w:lang w:eastAsia="tr-TR"/>
        </w:rPr>
        <w:t>dahil</w:t>
      </w:r>
      <w:proofErr w:type="gramEnd"/>
      <w:r w:rsidRPr="001C701D">
        <w:rPr>
          <w:rFonts w:ascii="Times New Roman" w:eastAsia="Times New Roman" w:hAnsi="Times New Roman" w:cs="Times New Roman"/>
          <w:color w:val="333333"/>
          <w:sz w:val="27"/>
          <w:szCs w:val="27"/>
          <w:lang w:eastAsia="tr-TR"/>
        </w:rPr>
        <w:t xml:space="preserve"> olmak üzere, aşağıdaki durumlarda dairesel ekonomiye geçişe önemli ölçüde katkıda bulunmuş sayılır: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Üretimde, sürdürülebilir kaynaklı biyolojik bazlı ve diğer hammaddeler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doğal kaynakları daha verimli bir şekilde kullanır ve şunları yapar:</w:t>
            </w:r>
          </w:p>
          <w:tbl>
            <w:tblPr>
              <w:tblW w:w="5000" w:type="pct"/>
              <w:tblCellMar>
                <w:left w:w="0" w:type="dxa"/>
                <w:right w:w="0" w:type="dxa"/>
              </w:tblCellMar>
              <w:tblLook w:val="04A0" w:firstRow="1" w:lastRow="0" w:firstColumn="1" w:lastColumn="0" w:noHBand="0" w:noVBand="1"/>
            </w:tblPr>
            <w:tblGrid>
              <w:gridCol w:w="547"/>
              <w:gridCol w:w="8191"/>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(Ben)</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birincil</w:t>
                  </w:r>
                  <w:proofErr w:type="gramEnd"/>
                  <w:r w:rsidRPr="001C701D">
                    <w:rPr>
                      <w:rFonts w:ascii="Times New Roman" w:eastAsia="Times New Roman" w:hAnsi="Times New Roman" w:cs="Times New Roman"/>
                      <w:sz w:val="24"/>
                      <w:szCs w:val="24"/>
                      <w:lang w:eastAsia="tr-TR"/>
                    </w:rPr>
                    <w:t xml:space="preserve"> hammaddelerin kullanımının azaltılması veya yan ürün ve ikincil hammaddelerin kullanımının artırılması; veya</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642"/>
              <w:gridCol w:w="8096"/>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(ii)</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kaynak</w:t>
                  </w:r>
                  <w:proofErr w:type="gramEnd"/>
                  <w:r w:rsidRPr="001C701D">
                    <w:rPr>
                      <w:rFonts w:ascii="Times New Roman" w:eastAsia="Times New Roman" w:hAnsi="Times New Roman" w:cs="Times New Roman"/>
                      <w:sz w:val="24"/>
                      <w:szCs w:val="24"/>
                      <w:lang w:eastAsia="tr-TR"/>
                    </w:rPr>
                    <w:t xml:space="preserve"> ve enerji verimliliği önlemleri;</w:t>
                  </w:r>
                </w:p>
              </w:tc>
            </w:tr>
          </w:tbl>
          <w:p w:rsidR="001C701D" w:rsidRPr="001C701D" w:rsidRDefault="001C701D" w:rsidP="001C701D">
            <w:pPr>
              <w:spacing w:after="0" w:line="240" w:lineRule="auto"/>
              <w:rPr>
                <w:rFonts w:ascii="Times New Roman" w:eastAsia="Times New Roman" w:hAnsi="Times New Roman" w:cs="Times New Roman"/>
                <w:sz w:val="24"/>
                <w:szCs w:val="24"/>
                <w:lang w:eastAsia="tr-TR"/>
              </w:rPr>
            </w:pP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özellikle</w:t>
            </w:r>
            <w:proofErr w:type="gramEnd"/>
            <w:r w:rsidRPr="001C701D">
              <w:rPr>
                <w:rFonts w:ascii="Times New Roman" w:eastAsia="Times New Roman" w:hAnsi="Times New Roman" w:cs="Times New Roman"/>
                <w:sz w:val="24"/>
                <w:szCs w:val="24"/>
                <w:lang w:eastAsia="tr-TR"/>
              </w:rPr>
              <w:t xml:space="preserve"> tasarım ve imalat faaliyetlerinde ürünlerin dayanıklılığını, tamir edilebilirliğini, </w:t>
            </w:r>
            <w:proofErr w:type="spellStart"/>
            <w:r w:rsidRPr="001C701D">
              <w:rPr>
                <w:rFonts w:ascii="Times New Roman" w:eastAsia="Times New Roman" w:hAnsi="Times New Roman" w:cs="Times New Roman"/>
                <w:sz w:val="24"/>
                <w:szCs w:val="24"/>
                <w:lang w:eastAsia="tr-TR"/>
              </w:rPr>
              <w:t>yükseltilebilirliğini</w:t>
            </w:r>
            <w:proofErr w:type="spellEnd"/>
            <w:r w:rsidRPr="001C701D">
              <w:rPr>
                <w:rFonts w:ascii="Times New Roman" w:eastAsia="Times New Roman" w:hAnsi="Times New Roman" w:cs="Times New Roman"/>
                <w:sz w:val="24"/>
                <w:szCs w:val="24"/>
                <w:lang w:eastAsia="tr-TR"/>
              </w:rPr>
              <w:t xml:space="preserve"> veya yeniden kullanılabilirliğini artırır;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özellikle</w:t>
            </w:r>
            <w:proofErr w:type="gramEnd"/>
            <w:r w:rsidRPr="001C701D">
              <w:rPr>
                <w:rFonts w:ascii="Times New Roman" w:eastAsia="Times New Roman" w:hAnsi="Times New Roman" w:cs="Times New Roman"/>
                <w:sz w:val="24"/>
                <w:szCs w:val="24"/>
                <w:lang w:eastAsia="tr-TR"/>
              </w:rPr>
              <w:t xml:space="preserve"> tasarım ve üretim faaliyetlerinde geri dönüştürülebilir olmayan ürün ve malzemelerin ikame edilmesi veya kullanımının azaltılması yoluyla, söz konusu ürünlerde bulunan bireysel malzemelerin geri </w:t>
            </w:r>
            <w:proofErr w:type="spellStart"/>
            <w:r w:rsidRPr="001C701D">
              <w:rPr>
                <w:rFonts w:ascii="Times New Roman" w:eastAsia="Times New Roman" w:hAnsi="Times New Roman" w:cs="Times New Roman"/>
                <w:sz w:val="24"/>
                <w:szCs w:val="24"/>
                <w:lang w:eastAsia="tr-TR"/>
              </w:rPr>
              <w:t>dönüştürülebilirliği</w:t>
            </w:r>
            <w:proofErr w:type="spellEnd"/>
            <w:r w:rsidRPr="001C701D">
              <w:rPr>
                <w:rFonts w:ascii="Times New Roman" w:eastAsia="Times New Roman" w:hAnsi="Times New Roman" w:cs="Times New Roman"/>
                <w:sz w:val="24"/>
                <w:szCs w:val="24"/>
                <w:lang w:eastAsia="tr-TR"/>
              </w:rPr>
              <w:t xml:space="preserve"> de dahil olmak üzere ürünlerin geri </w:t>
            </w:r>
            <w:proofErr w:type="spellStart"/>
            <w:r w:rsidRPr="001C701D">
              <w:rPr>
                <w:rFonts w:ascii="Times New Roman" w:eastAsia="Times New Roman" w:hAnsi="Times New Roman" w:cs="Times New Roman"/>
                <w:sz w:val="24"/>
                <w:szCs w:val="24"/>
                <w:lang w:eastAsia="tr-TR"/>
              </w:rPr>
              <w:t>dönüştürülebilirliğini</w:t>
            </w:r>
            <w:proofErr w:type="spellEnd"/>
            <w:r w:rsidRPr="001C701D">
              <w:rPr>
                <w:rFonts w:ascii="Times New Roman" w:eastAsia="Times New Roman" w:hAnsi="Times New Roman" w:cs="Times New Roman"/>
                <w:sz w:val="24"/>
                <w:szCs w:val="24"/>
                <w:lang w:eastAsia="tr-TR"/>
              </w:rPr>
              <w:t xml:space="preserve"> artırır;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Birlik hukukunda belirtilen hedefler doğrultusunda, tehlikeli maddelerin içeriğini önemli ölçüde azaltır ve malzemelerde ve ürünlerde yaşam döngüsü boyunca çok yüksek endişe yaratan maddeleri, bu tür maddeleri daha güvenli alternatiflerle değiştirerek ve izlenebilirliği sağlayarak değiştirir;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67"/>
        <w:gridCol w:w="880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ürünlerin</w:t>
            </w:r>
            <w:proofErr w:type="gramEnd"/>
            <w:r w:rsidRPr="001C701D">
              <w:rPr>
                <w:rFonts w:ascii="Times New Roman" w:eastAsia="Times New Roman" w:hAnsi="Times New Roman" w:cs="Times New Roman"/>
                <w:sz w:val="24"/>
                <w:szCs w:val="24"/>
                <w:lang w:eastAsia="tr-TR"/>
              </w:rPr>
              <w:t xml:space="preserve"> kullanımını, yeniden kullanım, uzun ömürlü tasarım, yeniden kullanım, sökme, yeniden üretim, yükseltme ve onarım ve ürünleri paylaşma yoluyla uzatır;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94"/>
        <w:gridCol w:w="877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(F)</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Atıkların yüksek kalitede geri dönüştürülmesi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ikincil hammaddelerin kullanımını ve kalitesini artırır;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(G)</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minerallerin</w:t>
            </w:r>
            <w:proofErr w:type="gramEnd"/>
            <w:r w:rsidRPr="001C701D">
              <w:rPr>
                <w:rFonts w:ascii="Times New Roman" w:eastAsia="Times New Roman" w:hAnsi="Times New Roman" w:cs="Times New Roman"/>
                <w:sz w:val="24"/>
                <w:szCs w:val="24"/>
                <w:lang w:eastAsia="tr-TR"/>
              </w:rPr>
              <w:t xml:space="preserve"> çıkarılmasından kaynaklanan atıklar ve binaların inşası ve yıkımından kaynaklanan atıklar da dahil olmak üzere atık oluşumunu önler veya azaltır;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73"/>
        <w:gridCol w:w="8699"/>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(H)</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Atıkların yeniden kullanımı ve geri dönüşümüne yönelik hazırlıkların artırılması;</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547"/>
        <w:gridCol w:w="852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(Ben)</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Önleme, yeniden kullanıma hazırlama ve geri dönüşüm için gerekli atık yönetim altyapısının geliştirilmesini artırırken, geri kazanılan malzemelerin üretimde yüksek kaliteli ikincil hammadde girdisi olarak geri dönüştürülmesini sağlayarak, geri dönüşümün azaltılmasını önler;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54"/>
        <w:gridCol w:w="881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(J)</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Atıkların yakılmasını en aza indirir ve atık hiyerarşisi ilkelerine uygun olarak atık </w:t>
            </w:r>
            <w:proofErr w:type="spellStart"/>
            <w:r w:rsidRPr="001C701D">
              <w:rPr>
                <w:rFonts w:ascii="Times New Roman" w:eastAsia="Times New Roman" w:hAnsi="Times New Roman" w:cs="Times New Roman"/>
                <w:sz w:val="24"/>
                <w:szCs w:val="24"/>
                <w:lang w:eastAsia="tr-TR"/>
              </w:rPr>
              <w:t>bertarafını</w:t>
            </w:r>
            <w:proofErr w:type="spellEnd"/>
            <w:r w:rsidRPr="001C701D">
              <w:rPr>
                <w:rFonts w:ascii="Times New Roman" w:eastAsia="Times New Roman" w:hAnsi="Times New Roman" w:cs="Times New Roman"/>
                <w:sz w:val="24"/>
                <w:szCs w:val="24"/>
                <w:lang w:eastAsia="tr-TR"/>
              </w:rPr>
              <w:t xml:space="preserve"> (düzensiz depolama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önler;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663"/>
        <w:gridCol w:w="8409"/>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çöp</w:t>
            </w:r>
            <w:proofErr w:type="gramEnd"/>
            <w:r w:rsidRPr="001C701D">
              <w:rPr>
                <w:rFonts w:ascii="Times New Roman" w:eastAsia="Times New Roman" w:hAnsi="Times New Roman" w:cs="Times New Roman"/>
                <w:sz w:val="24"/>
                <w:szCs w:val="24"/>
                <w:lang w:eastAsia="tr-TR"/>
              </w:rPr>
              <w:t xml:space="preserve"> oluşumunu önler ve azaltır; veya</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27"/>
        <w:gridCol w:w="884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(l)</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fıkranın (a) ila (k) bentlerinde sıralanan faaliyetlerden herhangi birinin 16 </w:t>
            </w:r>
            <w:proofErr w:type="spellStart"/>
            <w:r w:rsidRPr="001C701D">
              <w:rPr>
                <w:rFonts w:ascii="Times New Roman" w:eastAsia="Times New Roman" w:hAnsi="Times New Roman" w:cs="Times New Roman"/>
                <w:sz w:val="24"/>
                <w:szCs w:val="24"/>
                <w:lang w:eastAsia="tr-TR"/>
              </w:rPr>
              <w:t>ncı</w:t>
            </w:r>
            <w:proofErr w:type="spellEnd"/>
            <w:r w:rsidRPr="001C701D">
              <w:rPr>
                <w:rFonts w:ascii="Times New Roman" w:eastAsia="Times New Roman" w:hAnsi="Times New Roman" w:cs="Times New Roman"/>
                <w:sz w:val="24"/>
                <w:szCs w:val="24"/>
                <w:lang w:eastAsia="tr-TR"/>
              </w:rPr>
              <w:t xml:space="preserve"> maddeye uygun olarak gerçekleştirilmesine olanak sağlar.</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2. Komisyon, 23. madde uyarınca aşağıdakileri yapmak üzere bir yetki devri kararı kabul eder: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Maddenin 1. paragrafını, belirli bir ekonomik faaliyetin dairesel ekonomiye geçişe önemli ölçüde katkıda bulunacak şekilde nitelendirilmesi için gereken koşulların belirlenmesine yönelik teknik tarama kriterlerini belirleyerek </w:t>
            </w:r>
            <w:proofErr w:type="gramStart"/>
            <w:r w:rsidRPr="001C701D">
              <w:rPr>
                <w:rFonts w:ascii="Times New Roman" w:eastAsia="Times New Roman" w:hAnsi="Times New Roman" w:cs="Times New Roman"/>
                <w:sz w:val="24"/>
                <w:szCs w:val="24"/>
                <w:lang w:eastAsia="tr-TR"/>
              </w:rPr>
              <w:t>tamamlamak;</w:t>
            </w:r>
            <w:proofErr w:type="gramEnd"/>
            <w:r w:rsidRPr="001C701D">
              <w:rPr>
                <w:rFonts w:ascii="Times New Roman" w:eastAsia="Times New Roman" w:hAnsi="Times New Roman" w:cs="Times New Roman"/>
                <w:sz w:val="24"/>
                <w:szCs w:val="24"/>
                <w:lang w:eastAsia="tr-TR"/>
              </w:rPr>
              <w:t xml:space="preserve"> ve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Madde 17'yi, bu paragrafın (a) bendi uyarınca teknik tarama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belirlenen bir ekonomik faaliyetin söz konusu hedeflerden bir veya daha fazlasına önemli zarar verip </w:t>
            </w:r>
            <w:r w:rsidRPr="001C701D">
              <w:rPr>
                <w:rFonts w:ascii="Times New Roman" w:eastAsia="Times New Roman" w:hAnsi="Times New Roman" w:cs="Times New Roman"/>
                <w:sz w:val="24"/>
                <w:szCs w:val="24"/>
                <w:lang w:eastAsia="tr-TR"/>
              </w:rPr>
              <w:lastRenderedPageBreak/>
              <w:t>vermediğini belirlemek için, her ilgili çevresel hedef için teknik tarama kriterleri belirleyerek tamamlar.</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lastRenderedPageBreak/>
        <w:t xml:space="preserve">3. Komisyon, bu maddenin 2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fıkrasında sözü edilen yetki devrine dayalı işlemi kabul etmeden önce, bu maddenin 2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fıkrasında sözü edilen teknik tarama </w:t>
      </w:r>
      <w:proofErr w:type="gramStart"/>
      <w:r w:rsidRPr="001C701D">
        <w:rPr>
          <w:rFonts w:ascii="Times New Roman" w:eastAsia="Times New Roman" w:hAnsi="Times New Roman" w:cs="Times New Roman"/>
          <w:color w:val="333333"/>
          <w:sz w:val="27"/>
          <w:szCs w:val="27"/>
          <w:lang w:eastAsia="tr-TR"/>
        </w:rPr>
        <w:t>kriterleri</w:t>
      </w:r>
      <w:proofErr w:type="gramEnd"/>
      <w:r w:rsidRPr="001C701D">
        <w:rPr>
          <w:rFonts w:ascii="Times New Roman" w:eastAsia="Times New Roman" w:hAnsi="Times New Roman" w:cs="Times New Roman"/>
          <w:color w:val="333333"/>
          <w:sz w:val="27"/>
          <w:szCs w:val="27"/>
          <w:lang w:eastAsia="tr-TR"/>
        </w:rPr>
        <w:t xml:space="preserve"> hakkında 20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maddede sözü edilen Platforma danışır.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4. Komisyon, bu maddenin 2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fıkrasında belirtilen teknik tarama </w:t>
      </w:r>
      <w:proofErr w:type="gramStart"/>
      <w:r w:rsidRPr="001C701D">
        <w:rPr>
          <w:rFonts w:ascii="Times New Roman" w:eastAsia="Times New Roman" w:hAnsi="Times New Roman" w:cs="Times New Roman"/>
          <w:color w:val="333333"/>
          <w:sz w:val="27"/>
          <w:szCs w:val="27"/>
          <w:lang w:eastAsia="tr-TR"/>
        </w:rPr>
        <w:t>kriterlerini</w:t>
      </w:r>
      <w:proofErr w:type="gramEnd"/>
      <w:r w:rsidRPr="001C701D">
        <w:rPr>
          <w:rFonts w:ascii="Times New Roman" w:eastAsia="Times New Roman" w:hAnsi="Times New Roman" w:cs="Times New Roman"/>
          <w:color w:val="333333"/>
          <w:sz w:val="27"/>
          <w:szCs w:val="27"/>
          <w:lang w:eastAsia="tr-TR"/>
        </w:rPr>
        <w:t>, 19 uncu maddenin gereklerini dikkate alarak tek bir yetki devriyle belirlenir.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5. Komisyon, 2. paragrafta sözü edilen devredilmiş düzenlemeyi, 1 Ocak 2023 tarihinden itibaren uygulanmasını sağlamak amacıyla 31 Aralık 2021 tarihine kadar kabul edecektir.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14</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Kirliliğin önlenmesi ve kontrolüne önemli katkı</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1. Bir ekonomik faaliyet, aşağıdaki şekilde çevrenin kirlenmeye karşı korunmasına önemli ölçüde katkıda bulunduğu takdirde, kirliliğin önlenmesi ve kontrolüne önemli ölçüde katkıda bulunmuş sayılır: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sera</w:t>
            </w:r>
            <w:proofErr w:type="gramEnd"/>
            <w:r w:rsidRPr="001C701D">
              <w:rPr>
                <w:rFonts w:ascii="Times New Roman" w:eastAsia="Times New Roman" w:hAnsi="Times New Roman" w:cs="Times New Roman"/>
                <w:sz w:val="24"/>
                <w:szCs w:val="24"/>
                <w:lang w:eastAsia="tr-TR"/>
              </w:rPr>
              <w:t xml:space="preserve"> gazları dışındaki kirletici emisyonların havaya, suya veya toprağa yayılmasını önlemek veya bu mümkün olmadığında azaltmak;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ekonomik</w:t>
            </w:r>
            <w:proofErr w:type="gramEnd"/>
            <w:r w:rsidRPr="001C701D">
              <w:rPr>
                <w:rFonts w:ascii="Times New Roman" w:eastAsia="Times New Roman" w:hAnsi="Times New Roman" w:cs="Times New Roman"/>
                <w:sz w:val="24"/>
                <w:szCs w:val="24"/>
                <w:lang w:eastAsia="tr-TR"/>
              </w:rPr>
              <w:t xml:space="preserve"> faaliyetin gerçekleştirildiği bölgelerde hava, su veya toprak kalitesi düzeylerinin iyileştirilmesi, insan sağlığı ve çevre üzerindeki olumsuz etkilerin veya bunların riskinin en aza indirilmesi;</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kimyasalların</w:t>
            </w:r>
            <w:proofErr w:type="gramEnd"/>
            <w:r w:rsidRPr="001C701D">
              <w:rPr>
                <w:rFonts w:ascii="Times New Roman" w:eastAsia="Times New Roman" w:hAnsi="Times New Roman" w:cs="Times New Roman"/>
                <w:sz w:val="24"/>
                <w:szCs w:val="24"/>
                <w:lang w:eastAsia="tr-TR"/>
              </w:rPr>
              <w:t xml:space="preserve"> üretimi, kullanımı veya </w:t>
            </w:r>
            <w:proofErr w:type="spellStart"/>
            <w:r w:rsidRPr="001C701D">
              <w:rPr>
                <w:rFonts w:ascii="Times New Roman" w:eastAsia="Times New Roman" w:hAnsi="Times New Roman" w:cs="Times New Roman"/>
                <w:sz w:val="24"/>
                <w:szCs w:val="24"/>
                <w:lang w:eastAsia="tr-TR"/>
              </w:rPr>
              <w:t>bertarafının</w:t>
            </w:r>
            <w:proofErr w:type="spellEnd"/>
            <w:r w:rsidRPr="001C701D">
              <w:rPr>
                <w:rFonts w:ascii="Times New Roman" w:eastAsia="Times New Roman" w:hAnsi="Times New Roman" w:cs="Times New Roman"/>
                <w:sz w:val="24"/>
                <w:szCs w:val="24"/>
                <w:lang w:eastAsia="tr-TR"/>
              </w:rPr>
              <w:t xml:space="preserve"> insan sağlığı ve çevre üzerinde olumsuz etkilerinin önlenmesi veya en aza indirilmesi;</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688"/>
        <w:gridCol w:w="8384"/>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çöp</w:t>
            </w:r>
            <w:proofErr w:type="gramEnd"/>
            <w:r w:rsidRPr="001C701D">
              <w:rPr>
                <w:rFonts w:ascii="Times New Roman" w:eastAsia="Times New Roman" w:hAnsi="Times New Roman" w:cs="Times New Roman"/>
                <w:sz w:val="24"/>
                <w:szCs w:val="24"/>
                <w:lang w:eastAsia="tr-TR"/>
              </w:rPr>
              <w:t xml:space="preserve"> ve diğer kirleticileri temizlemek; veya</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67"/>
        <w:gridCol w:w="880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fıkranın (a) ila (d) bentlerinde sıralanan faaliyetlerden herhangi birinin 16 </w:t>
            </w:r>
            <w:proofErr w:type="spellStart"/>
            <w:r w:rsidRPr="001C701D">
              <w:rPr>
                <w:rFonts w:ascii="Times New Roman" w:eastAsia="Times New Roman" w:hAnsi="Times New Roman" w:cs="Times New Roman"/>
                <w:sz w:val="24"/>
                <w:szCs w:val="24"/>
                <w:lang w:eastAsia="tr-TR"/>
              </w:rPr>
              <w:t>ncı</w:t>
            </w:r>
            <w:proofErr w:type="spellEnd"/>
            <w:r w:rsidRPr="001C701D">
              <w:rPr>
                <w:rFonts w:ascii="Times New Roman" w:eastAsia="Times New Roman" w:hAnsi="Times New Roman" w:cs="Times New Roman"/>
                <w:sz w:val="24"/>
                <w:szCs w:val="24"/>
                <w:lang w:eastAsia="tr-TR"/>
              </w:rPr>
              <w:t xml:space="preserve"> maddeye uygun olarak gerçekleştirilmesini sağlamak.</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2. Komisyon, 23. madde uyarınca aşağıdakileri yapmak üzere bir yetki devri kararı kabul eder: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Maddenin 1. paragrafını, belirli bir ekonomik faaliyetin kirliliğin önlenmesi ve kontrolüne önemli ölçüde katkıda bulunacak nitelikte olduğu koşulların belirlenmesi için teknik tarama kriterleri oluşturarak </w:t>
            </w:r>
            <w:proofErr w:type="gramStart"/>
            <w:r w:rsidRPr="001C701D">
              <w:rPr>
                <w:rFonts w:ascii="Times New Roman" w:eastAsia="Times New Roman" w:hAnsi="Times New Roman" w:cs="Times New Roman"/>
                <w:sz w:val="24"/>
                <w:szCs w:val="24"/>
                <w:lang w:eastAsia="tr-TR"/>
              </w:rPr>
              <w:t>tamamlamak;</w:t>
            </w:r>
            <w:proofErr w:type="gramEnd"/>
            <w:r w:rsidRPr="001C701D">
              <w:rPr>
                <w:rFonts w:ascii="Times New Roman" w:eastAsia="Times New Roman" w:hAnsi="Times New Roman" w:cs="Times New Roman"/>
                <w:sz w:val="24"/>
                <w:szCs w:val="24"/>
                <w:lang w:eastAsia="tr-TR"/>
              </w:rPr>
              <w:t xml:space="preserve"> ve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Madde 17'yi, bu paragrafın (a) bendi uyarınca teknik tarama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belirlenen bir ekonomik faaliyetin, söz konusu hedeflerden bir veya daha fazlasına önemli zarar verip vermediğinin belirlenmesi için, her bir ilgili çevresel hedef için teknik tarama kriterleri belirleyerek tamamlar.</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3. Komisyon, bu maddenin 2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fıkrasında sözü edilen yetki devrine dayalı işlemi kabul etmeden önce, bu maddenin 2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fıkrasında sözü edilen teknik tarama </w:t>
      </w:r>
      <w:proofErr w:type="gramStart"/>
      <w:r w:rsidRPr="001C701D">
        <w:rPr>
          <w:rFonts w:ascii="Times New Roman" w:eastAsia="Times New Roman" w:hAnsi="Times New Roman" w:cs="Times New Roman"/>
          <w:color w:val="333333"/>
          <w:sz w:val="27"/>
          <w:szCs w:val="27"/>
          <w:lang w:eastAsia="tr-TR"/>
        </w:rPr>
        <w:t>kriterleri</w:t>
      </w:r>
      <w:proofErr w:type="gramEnd"/>
      <w:r w:rsidRPr="001C701D">
        <w:rPr>
          <w:rFonts w:ascii="Times New Roman" w:eastAsia="Times New Roman" w:hAnsi="Times New Roman" w:cs="Times New Roman"/>
          <w:color w:val="333333"/>
          <w:sz w:val="27"/>
          <w:szCs w:val="27"/>
          <w:lang w:eastAsia="tr-TR"/>
        </w:rPr>
        <w:t xml:space="preserve"> hakkında 20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maddede sözü edilen Platforma danışır.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lastRenderedPageBreak/>
        <w:t xml:space="preserve">4. Komisyon, bu maddenin 2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fıkrasında belirtilen teknik tarama </w:t>
      </w:r>
      <w:proofErr w:type="gramStart"/>
      <w:r w:rsidRPr="001C701D">
        <w:rPr>
          <w:rFonts w:ascii="Times New Roman" w:eastAsia="Times New Roman" w:hAnsi="Times New Roman" w:cs="Times New Roman"/>
          <w:color w:val="333333"/>
          <w:sz w:val="27"/>
          <w:szCs w:val="27"/>
          <w:lang w:eastAsia="tr-TR"/>
        </w:rPr>
        <w:t>kriterlerini</w:t>
      </w:r>
      <w:proofErr w:type="gramEnd"/>
      <w:r w:rsidRPr="001C701D">
        <w:rPr>
          <w:rFonts w:ascii="Times New Roman" w:eastAsia="Times New Roman" w:hAnsi="Times New Roman" w:cs="Times New Roman"/>
          <w:color w:val="333333"/>
          <w:sz w:val="27"/>
          <w:szCs w:val="27"/>
          <w:lang w:eastAsia="tr-TR"/>
        </w:rPr>
        <w:t>, 19 uncu maddenin gereklerini dikkate alarak tek bir yetki devriyle belirlenir.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5. Komisyon, 2. paragrafta sözü edilen devredilmiş düzenlemeyi, 1 Ocak 2023 tarihinden itibaren uygulanmasını sağlamak amacıyla 31 Aralık 2021 tarihine kadar kabul edecektir.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15</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 xml:space="preserve">Biyolojik çeşitliliğin ve ekosistemlerin korunmasına ve </w:t>
      </w:r>
      <w:proofErr w:type="gramStart"/>
      <w:r w:rsidRPr="001C701D">
        <w:rPr>
          <w:rFonts w:ascii="Times New Roman" w:eastAsia="Times New Roman" w:hAnsi="Times New Roman" w:cs="Times New Roman"/>
          <w:b/>
          <w:bCs/>
          <w:color w:val="333333"/>
          <w:sz w:val="27"/>
          <w:szCs w:val="27"/>
          <w:lang w:eastAsia="tr-TR"/>
        </w:rPr>
        <w:t>restorasyonuna</w:t>
      </w:r>
      <w:proofErr w:type="gramEnd"/>
      <w:r w:rsidRPr="001C701D">
        <w:rPr>
          <w:rFonts w:ascii="Times New Roman" w:eastAsia="Times New Roman" w:hAnsi="Times New Roman" w:cs="Times New Roman"/>
          <w:b/>
          <w:bCs/>
          <w:color w:val="333333"/>
          <w:sz w:val="27"/>
          <w:szCs w:val="27"/>
          <w:lang w:eastAsia="tr-TR"/>
        </w:rPr>
        <w:t xml:space="preserve"> önemli katkı</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1. Bir ekonomik faaliyet, biyolojik çeşitliliğin ve ekosistemlerin korunmasına ve onarılmasına önemli ölçüde katkıda bulunduğunda veya ekosistemlerin iyi durumda olmasına veya </w:t>
      </w:r>
      <w:proofErr w:type="gramStart"/>
      <w:r w:rsidRPr="001C701D">
        <w:rPr>
          <w:rFonts w:ascii="Times New Roman" w:eastAsia="Times New Roman" w:hAnsi="Times New Roman" w:cs="Times New Roman"/>
          <w:color w:val="333333"/>
          <w:sz w:val="27"/>
          <w:szCs w:val="27"/>
          <w:lang w:eastAsia="tr-TR"/>
        </w:rPr>
        <w:t>halihazırda</w:t>
      </w:r>
      <w:proofErr w:type="gramEnd"/>
      <w:r w:rsidRPr="001C701D">
        <w:rPr>
          <w:rFonts w:ascii="Times New Roman" w:eastAsia="Times New Roman" w:hAnsi="Times New Roman" w:cs="Times New Roman"/>
          <w:color w:val="333333"/>
          <w:sz w:val="27"/>
          <w:szCs w:val="27"/>
          <w:lang w:eastAsia="tr-TR"/>
        </w:rPr>
        <w:t xml:space="preserve"> iyi durumda olan ekosistemlerin korunmasına önemli ölçüde katkıda bulunduğunda, bu faaliyet aşağıdakiler yoluyla biyolojik çeşitliliğin ve ekosistemlerin korunmasına ve onarılmasına önemli ölçüde katkıda bulunmuş sayılır: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doğa</w:t>
            </w:r>
            <w:proofErr w:type="gramEnd"/>
            <w:r w:rsidRPr="001C701D">
              <w:rPr>
                <w:rFonts w:ascii="Times New Roman" w:eastAsia="Times New Roman" w:hAnsi="Times New Roman" w:cs="Times New Roman"/>
                <w:sz w:val="24"/>
                <w:szCs w:val="24"/>
                <w:lang w:eastAsia="tr-TR"/>
              </w:rPr>
              <w:t xml:space="preserve"> ve biyolojik çeşitliliğin korunması, doğal ve yarı doğal yaşam alanlarının ve türlerin uygun koruma statüsüne kavuşturulması veya halihazırda uygun koruma statüsüne sahip oldukları yerlerde bozulmalarının önlenmesi ve karasal, denizel ve diğer su ekosistemlerinin durumlarını iyileştirmek ve ekosistem hizmetleri sağlama kapasitelerini artırmak amacıyla korunması ve restore edilmesi dahil;</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toprak biyolojik çeşitliliğinin yeterli şekilde korunması, arazi bozulmasının </w:t>
            </w:r>
            <w:proofErr w:type="gramStart"/>
            <w:r w:rsidRPr="001C701D">
              <w:rPr>
                <w:rFonts w:ascii="Times New Roman" w:eastAsia="Times New Roman" w:hAnsi="Times New Roman" w:cs="Times New Roman"/>
                <w:sz w:val="24"/>
                <w:szCs w:val="24"/>
                <w:lang w:eastAsia="tr-TR"/>
              </w:rPr>
              <w:t>nötr</w:t>
            </w:r>
            <w:proofErr w:type="gramEnd"/>
            <w:r w:rsidRPr="001C701D">
              <w:rPr>
                <w:rFonts w:ascii="Times New Roman" w:eastAsia="Times New Roman" w:hAnsi="Times New Roman" w:cs="Times New Roman"/>
                <w:sz w:val="24"/>
                <w:szCs w:val="24"/>
                <w:lang w:eastAsia="tr-TR"/>
              </w:rPr>
              <w:t xml:space="preserve"> hale getirilmesi ve kirlenmiş alanların iyileştirilmesi de dahil olmak üzere sürdürülebilir arazi kullanımı ve yönetimi;</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biyolojik</w:t>
            </w:r>
            <w:proofErr w:type="gramEnd"/>
            <w:r w:rsidRPr="001C701D">
              <w:rPr>
                <w:rFonts w:ascii="Times New Roman" w:eastAsia="Times New Roman" w:hAnsi="Times New Roman" w:cs="Times New Roman"/>
                <w:sz w:val="24"/>
                <w:szCs w:val="24"/>
                <w:lang w:eastAsia="tr-TR"/>
              </w:rPr>
              <w:t xml:space="preserve"> çeşitliliğin artırılmasına veya toprakların ve diğer ekosistemlerin bozulmasının, ormansızlaşmanın ve yaşam alanı kaybının durdurulmasına veya önlenmesine katkıda bulunanlar da dahil olmak üzere sürdürülebilir tarım uygulamaları;</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biyolojik</w:t>
            </w:r>
            <w:proofErr w:type="gramEnd"/>
            <w:r w:rsidRPr="001C701D">
              <w:rPr>
                <w:rFonts w:ascii="Times New Roman" w:eastAsia="Times New Roman" w:hAnsi="Times New Roman" w:cs="Times New Roman"/>
                <w:sz w:val="24"/>
                <w:szCs w:val="24"/>
                <w:lang w:eastAsia="tr-TR"/>
              </w:rPr>
              <w:t xml:space="preserve"> çeşitliliği artırmaya veya ekosistemlerin bozulmasını, ormansızlaşmayı ve yaşam alanı kaybını durdurmaya veya önlemeye katkıda bulunan orman ve orman arazisi uygulamaları ve kullanımları dahil olmak üzere sürdürülebilir orman yönetimi; veya</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67"/>
        <w:gridCol w:w="880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fıkranın (a) ila (d) bentlerinde sıralanan faaliyetlerden herhangi birinin 16 </w:t>
            </w:r>
            <w:proofErr w:type="spellStart"/>
            <w:r w:rsidRPr="001C701D">
              <w:rPr>
                <w:rFonts w:ascii="Times New Roman" w:eastAsia="Times New Roman" w:hAnsi="Times New Roman" w:cs="Times New Roman"/>
                <w:sz w:val="24"/>
                <w:szCs w:val="24"/>
                <w:lang w:eastAsia="tr-TR"/>
              </w:rPr>
              <w:t>ncı</w:t>
            </w:r>
            <w:proofErr w:type="spellEnd"/>
            <w:r w:rsidRPr="001C701D">
              <w:rPr>
                <w:rFonts w:ascii="Times New Roman" w:eastAsia="Times New Roman" w:hAnsi="Times New Roman" w:cs="Times New Roman"/>
                <w:sz w:val="24"/>
                <w:szCs w:val="24"/>
                <w:lang w:eastAsia="tr-TR"/>
              </w:rPr>
              <w:t xml:space="preserve"> maddeye uygun olarak gerçekleştirilmesini sağlamak.</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2. Komisyon, 23. madde uyarınca aşağıdakileri yapmak üzere bir yetki devri kararı kabul eder: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Maddenin 1. paragrafını, belirli bir ekonomik faaliyetin biyolojik çeşitliliğin ve ekosistemlerin korunmasına ve yeniden canlandırılmasına önemli ölçüde katkıda bulunacak şekilde nitelendirilmesi koşullarını belirlemek için teknik tarama kriterleri oluşturarak </w:t>
            </w:r>
            <w:proofErr w:type="gramStart"/>
            <w:r w:rsidRPr="001C701D">
              <w:rPr>
                <w:rFonts w:ascii="Times New Roman" w:eastAsia="Times New Roman" w:hAnsi="Times New Roman" w:cs="Times New Roman"/>
                <w:sz w:val="24"/>
                <w:szCs w:val="24"/>
                <w:lang w:eastAsia="tr-TR"/>
              </w:rPr>
              <w:t>tamamlamak;</w:t>
            </w:r>
            <w:proofErr w:type="gramEnd"/>
            <w:r w:rsidRPr="001C701D">
              <w:rPr>
                <w:rFonts w:ascii="Times New Roman" w:eastAsia="Times New Roman" w:hAnsi="Times New Roman" w:cs="Times New Roman"/>
                <w:sz w:val="24"/>
                <w:szCs w:val="24"/>
                <w:lang w:eastAsia="tr-TR"/>
              </w:rPr>
              <w:t xml:space="preserve"> ve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Madde 17'yi, bu paragrafın (a) bendi uyarınca teknik tarama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belirlenen bir ekonomik faaliyetin, söz konusu hedeflerden bir veya daha fazlasına önemli zarar verip </w:t>
            </w:r>
            <w:r w:rsidRPr="001C701D">
              <w:rPr>
                <w:rFonts w:ascii="Times New Roman" w:eastAsia="Times New Roman" w:hAnsi="Times New Roman" w:cs="Times New Roman"/>
                <w:sz w:val="24"/>
                <w:szCs w:val="24"/>
                <w:lang w:eastAsia="tr-TR"/>
              </w:rPr>
              <w:lastRenderedPageBreak/>
              <w:t>vermediğinin belirlenmesi için, her bir ilgili çevresel hedef için teknik tarama kriterleri belirleyerek tamamlar.</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lastRenderedPageBreak/>
        <w:t xml:space="preserve">3. Komisyon, bu maddenin 2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fıkrasında sözü edilen yetki devrine dayalı işlemi kabul etmeden önce, bu maddenin 2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fıkrasında sözü edilen teknik tarama </w:t>
      </w:r>
      <w:proofErr w:type="gramStart"/>
      <w:r w:rsidRPr="001C701D">
        <w:rPr>
          <w:rFonts w:ascii="Times New Roman" w:eastAsia="Times New Roman" w:hAnsi="Times New Roman" w:cs="Times New Roman"/>
          <w:color w:val="333333"/>
          <w:sz w:val="27"/>
          <w:szCs w:val="27"/>
          <w:lang w:eastAsia="tr-TR"/>
        </w:rPr>
        <w:t>kriterleri</w:t>
      </w:r>
      <w:proofErr w:type="gramEnd"/>
      <w:r w:rsidRPr="001C701D">
        <w:rPr>
          <w:rFonts w:ascii="Times New Roman" w:eastAsia="Times New Roman" w:hAnsi="Times New Roman" w:cs="Times New Roman"/>
          <w:color w:val="333333"/>
          <w:sz w:val="27"/>
          <w:szCs w:val="27"/>
          <w:lang w:eastAsia="tr-TR"/>
        </w:rPr>
        <w:t xml:space="preserve"> hakkında 20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maddede sözü edilen Platforma danışır.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4. Komisyon, bu maddenin 2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fıkrasında belirtilen teknik tarama </w:t>
      </w:r>
      <w:proofErr w:type="gramStart"/>
      <w:r w:rsidRPr="001C701D">
        <w:rPr>
          <w:rFonts w:ascii="Times New Roman" w:eastAsia="Times New Roman" w:hAnsi="Times New Roman" w:cs="Times New Roman"/>
          <w:color w:val="333333"/>
          <w:sz w:val="27"/>
          <w:szCs w:val="27"/>
          <w:lang w:eastAsia="tr-TR"/>
        </w:rPr>
        <w:t>kriterlerini</w:t>
      </w:r>
      <w:proofErr w:type="gramEnd"/>
      <w:r w:rsidRPr="001C701D">
        <w:rPr>
          <w:rFonts w:ascii="Times New Roman" w:eastAsia="Times New Roman" w:hAnsi="Times New Roman" w:cs="Times New Roman"/>
          <w:color w:val="333333"/>
          <w:sz w:val="27"/>
          <w:szCs w:val="27"/>
          <w:lang w:eastAsia="tr-TR"/>
        </w:rPr>
        <w:t>, 19 uncu maddenin gereklerini dikkate alarak tek bir yetki devriyle belirlenir.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5. Komisyon, 2. paragrafta sözü edilen devredilmiş düzenlemeyi, 1 Ocak 2023 tarihinden itibaren uygulanmasını sağlamak amacıyla 31 Aralık 2021 tarihine kadar kabul edecektir.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16</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Etkinleştirme faaliyetleri</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Bir ekonomik faaliyet, diğer faaliyetlerin bu amaçlardan bir veya daha fazlasına önemli bir katkıda bulunmasını doğrudan sağlayarak, Madde 9'da belirtilen çevresel amaçlardan bir veya daha fazlasına önemli bir katkıda bulunmuş sayılır; ancak bu ekonomik faaliyet aşağıdaki koşulların sağlanması halinde geçerlidir: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bu</w:t>
            </w:r>
            <w:proofErr w:type="gramEnd"/>
            <w:r w:rsidRPr="001C701D">
              <w:rPr>
                <w:rFonts w:ascii="Times New Roman" w:eastAsia="Times New Roman" w:hAnsi="Times New Roman" w:cs="Times New Roman"/>
                <w:sz w:val="24"/>
                <w:szCs w:val="24"/>
                <w:lang w:eastAsia="tr-TR"/>
              </w:rPr>
              <w:t xml:space="preserve"> varlıkların ekonomik ömrü göz önüne alındığında, uzun vadeli çevresel hedefleri baltalayacak şekilde varlıkların kilitlenmesine yol açmaz; ve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65"/>
        <w:gridCol w:w="8707"/>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Yaşam döngüsü dikkate alındığında, önemli bir olumlu çevresel etkiye sahiptir.</w:t>
            </w:r>
          </w:p>
        </w:tc>
      </w:tr>
    </w:tbl>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17</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Çevresel hedeflere önemli zarar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1. Madde 3'ün (b) noktasının amaçları doğrultusunda, bir ekonomik faaliyetin sağladığı ürün ve hizmetlerin yaşam döngüsü dikkate alındığında, mevcut yaşam döngüsü değerlendirmelerinden elde edilen kanıtlar da </w:t>
      </w:r>
      <w:proofErr w:type="gramStart"/>
      <w:r w:rsidRPr="001C701D">
        <w:rPr>
          <w:rFonts w:ascii="Times New Roman" w:eastAsia="Times New Roman" w:hAnsi="Times New Roman" w:cs="Times New Roman"/>
          <w:color w:val="333333"/>
          <w:sz w:val="27"/>
          <w:szCs w:val="27"/>
          <w:lang w:eastAsia="tr-TR"/>
        </w:rPr>
        <w:t>dahil</w:t>
      </w:r>
      <w:proofErr w:type="gramEnd"/>
      <w:r w:rsidRPr="001C701D">
        <w:rPr>
          <w:rFonts w:ascii="Times New Roman" w:eastAsia="Times New Roman" w:hAnsi="Times New Roman" w:cs="Times New Roman"/>
          <w:color w:val="333333"/>
          <w:sz w:val="27"/>
          <w:szCs w:val="27"/>
          <w:lang w:eastAsia="tr-TR"/>
        </w:rPr>
        <w:t xml:space="preserve"> olmak üzere, söz konusu ekonomik faaliyetin aşağıdakilere önemli ölçüde zarar verdiği kabul edilir: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iklim</w:t>
            </w:r>
            <w:proofErr w:type="gramEnd"/>
            <w:r w:rsidRPr="001C701D">
              <w:rPr>
                <w:rFonts w:ascii="Times New Roman" w:eastAsia="Times New Roman" w:hAnsi="Times New Roman" w:cs="Times New Roman"/>
                <w:sz w:val="24"/>
                <w:szCs w:val="24"/>
                <w:lang w:eastAsia="tr-TR"/>
              </w:rPr>
              <w:t xml:space="preserve"> değişikliğinin azaltılması, söz konusu faaliyetin önemli sera gazı emisyonlarına yol açtığı durumlarda;</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iklim</w:t>
            </w:r>
            <w:proofErr w:type="gramEnd"/>
            <w:r w:rsidRPr="001C701D">
              <w:rPr>
                <w:rFonts w:ascii="Times New Roman" w:eastAsia="Times New Roman" w:hAnsi="Times New Roman" w:cs="Times New Roman"/>
                <w:sz w:val="24"/>
                <w:szCs w:val="24"/>
                <w:lang w:eastAsia="tr-TR"/>
              </w:rPr>
              <w:t xml:space="preserve"> değişikliğine uyum, söz konusu faaliyetin mevcut iklimin ve beklenen gelecekteki iklimin kendisi veya insanlar, doğa veya varlıklar üzerinde artan olumsuz etkisine yol açtığı durumlarda;</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su</w:t>
            </w:r>
            <w:proofErr w:type="gramEnd"/>
            <w:r w:rsidRPr="001C701D">
              <w:rPr>
                <w:rFonts w:ascii="Times New Roman" w:eastAsia="Times New Roman" w:hAnsi="Times New Roman" w:cs="Times New Roman"/>
                <w:sz w:val="24"/>
                <w:szCs w:val="24"/>
                <w:lang w:eastAsia="tr-TR"/>
              </w:rPr>
              <w:t xml:space="preserve"> ve deniz kaynaklarının sürdürülebilir kullanımı ve korunması, bu faaliyetin zararlı olduğu durumlarda:</w:t>
            </w:r>
          </w:p>
          <w:tbl>
            <w:tblPr>
              <w:tblW w:w="5000" w:type="pct"/>
              <w:tblCellMar>
                <w:left w:w="0" w:type="dxa"/>
                <w:right w:w="0" w:type="dxa"/>
              </w:tblCellMar>
              <w:tblLook w:val="04A0" w:firstRow="1" w:lastRow="0" w:firstColumn="1" w:lastColumn="0" w:noHBand="0" w:noVBand="1"/>
            </w:tblPr>
            <w:tblGrid>
              <w:gridCol w:w="547"/>
              <w:gridCol w:w="8205"/>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(Ben)</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yüzey suyu ve yeraltı suyu dahil olmak üzere su kütlelerinin iyi durumuna veya iyi </w:t>
                  </w:r>
                  <w:proofErr w:type="gramStart"/>
                  <w:r w:rsidRPr="001C701D">
                    <w:rPr>
                      <w:rFonts w:ascii="Times New Roman" w:eastAsia="Times New Roman" w:hAnsi="Times New Roman" w:cs="Times New Roman"/>
                      <w:sz w:val="24"/>
                      <w:szCs w:val="24"/>
                      <w:lang w:eastAsia="tr-TR"/>
                    </w:rPr>
                    <w:t>ekolojik</w:t>
                  </w:r>
                  <w:proofErr w:type="gramEnd"/>
                  <w:r w:rsidRPr="001C701D">
                    <w:rPr>
                      <w:rFonts w:ascii="Times New Roman" w:eastAsia="Times New Roman" w:hAnsi="Times New Roman" w:cs="Times New Roman"/>
                      <w:sz w:val="24"/>
                      <w:szCs w:val="24"/>
                      <w:lang w:eastAsia="tr-TR"/>
                    </w:rPr>
                    <w:t xml:space="preserve"> potansiyeline; veya</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648"/>
              <w:gridCol w:w="8104"/>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(ii)</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deniz</w:t>
                  </w:r>
                  <w:proofErr w:type="gramEnd"/>
                  <w:r w:rsidRPr="001C701D">
                    <w:rPr>
                      <w:rFonts w:ascii="Times New Roman" w:eastAsia="Times New Roman" w:hAnsi="Times New Roman" w:cs="Times New Roman"/>
                      <w:sz w:val="24"/>
                      <w:szCs w:val="24"/>
                      <w:lang w:eastAsia="tr-TR"/>
                    </w:rPr>
                    <w:t xml:space="preserve"> sularının iyi çevresel durumuna;</w:t>
                  </w:r>
                </w:p>
              </w:tc>
            </w:tr>
          </w:tbl>
          <w:p w:rsidR="001C701D" w:rsidRPr="001C701D" w:rsidRDefault="001C701D" w:rsidP="001C701D">
            <w:pPr>
              <w:spacing w:after="0" w:line="240" w:lineRule="auto"/>
              <w:rPr>
                <w:rFonts w:ascii="Times New Roman" w:eastAsia="Times New Roman" w:hAnsi="Times New Roman" w:cs="Times New Roman"/>
                <w:sz w:val="24"/>
                <w:szCs w:val="24"/>
                <w:lang w:eastAsia="tr-TR"/>
              </w:rPr>
            </w:pP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Atık önleme ve geri dönüşüm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dairesel ekonomi, burada:</w:t>
            </w:r>
          </w:p>
          <w:tbl>
            <w:tblPr>
              <w:tblW w:w="5000" w:type="pct"/>
              <w:tblCellMar>
                <w:left w:w="0" w:type="dxa"/>
                <w:right w:w="0" w:type="dxa"/>
              </w:tblCellMar>
              <w:tblLook w:val="04A0" w:firstRow="1" w:lastRow="0" w:firstColumn="1" w:lastColumn="0" w:noHBand="0" w:noVBand="1"/>
            </w:tblPr>
            <w:tblGrid>
              <w:gridCol w:w="547"/>
              <w:gridCol w:w="8191"/>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(Ben)</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söz</w:t>
                  </w:r>
                  <w:proofErr w:type="gramEnd"/>
                  <w:r w:rsidRPr="001C701D">
                    <w:rPr>
                      <w:rFonts w:ascii="Times New Roman" w:eastAsia="Times New Roman" w:hAnsi="Times New Roman" w:cs="Times New Roman"/>
                      <w:sz w:val="24"/>
                      <w:szCs w:val="24"/>
                      <w:lang w:eastAsia="tr-TR"/>
                    </w:rPr>
                    <w:t xml:space="preserve"> konusu faaliyetin, ürünlerin yaşam döngüsünün bir veya daha fazla aşamasında, yenilenemeyen enerji kaynakları, hammaddeler, su ve toprak gibi doğal kaynakların doğrudan veya dolaylı kullanımında veya malzemelerin kullanımında, ürünlerin dayanıklılığı, </w:t>
                  </w:r>
                  <w:proofErr w:type="spellStart"/>
                  <w:r w:rsidRPr="001C701D">
                    <w:rPr>
                      <w:rFonts w:ascii="Times New Roman" w:eastAsia="Times New Roman" w:hAnsi="Times New Roman" w:cs="Times New Roman"/>
                      <w:sz w:val="24"/>
                      <w:szCs w:val="24"/>
                      <w:lang w:eastAsia="tr-TR"/>
                    </w:rPr>
                    <w:t>onarılabilirliği</w:t>
                  </w:r>
                  <w:proofErr w:type="spellEnd"/>
                  <w:r w:rsidRPr="001C701D">
                    <w:rPr>
                      <w:rFonts w:ascii="Times New Roman" w:eastAsia="Times New Roman" w:hAnsi="Times New Roman" w:cs="Times New Roman"/>
                      <w:sz w:val="24"/>
                      <w:szCs w:val="24"/>
                      <w:lang w:eastAsia="tr-TR"/>
                    </w:rPr>
                    <w:t xml:space="preserve">, </w:t>
                  </w:r>
                  <w:proofErr w:type="spellStart"/>
                  <w:r w:rsidRPr="001C701D">
                    <w:rPr>
                      <w:rFonts w:ascii="Times New Roman" w:eastAsia="Times New Roman" w:hAnsi="Times New Roman" w:cs="Times New Roman"/>
                      <w:sz w:val="24"/>
                      <w:szCs w:val="24"/>
                      <w:lang w:eastAsia="tr-TR"/>
                    </w:rPr>
                    <w:t>yükseltilebilirliği</w:t>
                  </w:r>
                  <w:proofErr w:type="spellEnd"/>
                  <w:r w:rsidRPr="001C701D">
                    <w:rPr>
                      <w:rFonts w:ascii="Times New Roman" w:eastAsia="Times New Roman" w:hAnsi="Times New Roman" w:cs="Times New Roman"/>
                      <w:sz w:val="24"/>
                      <w:szCs w:val="24"/>
                      <w:lang w:eastAsia="tr-TR"/>
                    </w:rPr>
                    <w:t xml:space="preserve">, yeniden kullanılabilirliği veya geri </w:t>
                  </w:r>
                  <w:proofErr w:type="spellStart"/>
                  <w:r w:rsidRPr="001C701D">
                    <w:rPr>
                      <w:rFonts w:ascii="Times New Roman" w:eastAsia="Times New Roman" w:hAnsi="Times New Roman" w:cs="Times New Roman"/>
                      <w:sz w:val="24"/>
                      <w:szCs w:val="24"/>
                      <w:lang w:eastAsia="tr-TR"/>
                    </w:rPr>
                    <w:t>dönüştürülebilirliği</w:t>
                  </w:r>
                  <w:proofErr w:type="spellEnd"/>
                  <w:r w:rsidRPr="001C701D">
                    <w:rPr>
                      <w:rFonts w:ascii="Times New Roman" w:eastAsia="Times New Roman" w:hAnsi="Times New Roman" w:cs="Times New Roman"/>
                      <w:sz w:val="24"/>
                      <w:szCs w:val="24"/>
                      <w:lang w:eastAsia="tr-TR"/>
                    </w:rPr>
                    <w:t xml:space="preserve"> açısından önemli verimsizliklere yol açması;</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294"/>
              <w:gridCol w:w="8444"/>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(ii)</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bu</w:t>
                  </w:r>
                  <w:proofErr w:type="gramEnd"/>
                  <w:r w:rsidRPr="001C701D">
                    <w:rPr>
                      <w:rFonts w:ascii="Times New Roman" w:eastAsia="Times New Roman" w:hAnsi="Times New Roman" w:cs="Times New Roman"/>
                      <w:sz w:val="24"/>
                      <w:szCs w:val="24"/>
                      <w:lang w:eastAsia="tr-TR"/>
                    </w:rPr>
                    <w:t xml:space="preserve"> faaliyetin, geri dönüştürülemeyen tehlikeli atıkların yakılması hariç olmak üzere, atık üretiminde, yakılmasında veya </w:t>
                  </w:r>
                  <w:proofErr w:type="spellStart"/>
                  <w:r w:rsidRPr="001C701D">
                    <w:rPr>
                      <w:rFonts w:ascii="Times New Roman" w:eastAsia="Times New Roman" w:hAnsi="Times New Roman" w:cs="Times New Roman"/>
                      <w:sz w:val="24"/>
                      <w:szCs w:val="24"/>
                      <w:lang w:eastAsia="tr-TR"/>
                    </w:rPr>
                    <w:t>bertarafında</w:t>
                  </w:r>
                  <w:proofErr w:type="spellEnd"/>
                  <w:r w:rsidRPr="001C701D">
                    <w:rPr>
                      <w:rFonts w:ascii="Times New Roman" w:eastAsia="Times New Roman" w:hAnsi="Times New Roman" w:cs="Times New Roman"/>
                      <w:sz w:val="24"/>
                      <w:szCs w:val="24"/>
                      <w:lang w:eastAsia="tr-TR"/>
                    </w:rPr>
                    <w:t xml:space="preserve"> önemli bir artışa yol açması; veya</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60"/>
              <w:gridCol w:w="8378"/>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(iii)</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Atıkların uzun vadede bertaraf edilmesi çevreye önemli ve uzun vadeli zararlar verebilir;</w:t>
                  </w:r>
                </w:p>
              </w:tc>
            </w:tr>
          </w:tbl>
          <w:p w:rsidR="001C701D" w:rsidRPr="001C701D" w:rsidRDefault="001C701D" w:rsidP="001C701D">
            <w:pPr>
              <w:spacing w:after="0" w:line="240" w:lineRule="auto"/>
              <w:rPr>
                <w:rFonts w:ascii="Times New Roman" w:eastAsia="Times New Roman" w:hAnsi="Times New Roman" w:cs="Times New Roman"/>
                <w:sz w:val="24"/>
                <w:szCs w:val="24"/>
                <w:lang w:eastAsia="tr-TR"/>
              </w:rPr>
            </w:pP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67"/>
        <w:gridCol w:w="880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Kirliliğin önlenmesi ve kontrolü, söz konusu faaliyetin, faaliyete başlamadan önceki duruma kıyasla hava, su veya toprağa kirletici emisyonlarında önemli bir artışa yol açması </w:t>
            </w:r>
            <w:proofErr w:type="gramStart"/>
            <w:r w:rsidRPr="001C701D">
              <w:rPr>
                <w:rFonts w:ascii="Times New Roman" w:eastAsia="Times New Roman" w:hAnsi="Times New Roman" w:cs="Times New Roman"/>
                <w:sz w:val="24"/>
                <w:szCs w:val="24"/>
                <w:lang w:eastAsia="tr-TR"/>
              </w:rPr>
              <w:t>durumunda;</w:t>
            </w:r>
            <w:proofErr w:type="gramEnd"/>
            <w:r w:rsidRPr="001C701D">
              <w:rPr>
                <w:rFonts w:ascii="Times New Roman" w:eastAsia="Times New Roman" w:hAnsi="Times New Roman" w:cs="Times New Roman"/>
                <w:sz w:val="24"/>
                <w:szCs w:val="24"/>
                <w:lang w:eastAsia="tr-TR"/>
              </w:rPr>
              <w:t xml:space="preserve"> veya</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94"/>
        <w:gridCol w:w="877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(F)</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biyolojik</w:t>
            </w:r>
            <w:proofErr w:type="gramEnd"/>
            <w:r w:rsidRPr="001C701D">
              <w:rPr>
                <w:rFonts w:ascii="Times New Roman" w:eastAsia="Times New Roman" w:hAnsi="Times New Roman" w:cs="Times New Roman"/>
                <w:sz w:val="24"/>
                <w:szCs w:val="24"/>
                <w:lang w:eastAsia="tr-TR"/>
              </w:rPr>
              <w:t xml:space="preserve"> çeşitliliğin ve ekosistemlerin korunması ve restorasyonu, bu faaliyetin:</w:t>
            </w:r>
          </w:p>
          <w:tbl>
            <w:tblPr>
              <w:tblW w:w="5000" w:type="pct"/>
              <w:tblCellMar>
                <w:left w:w="0" w:type="dxa"/>
                <w:right w:w="0" w:type="dxa"/>
              </w:tblCellMar>
              <w:tblLook w:val="04A0" w:firstRow="1" w:lastRow="0" w:firstColumn="1" w:lastColumn="0" w:noHBand="0" w:noVBand="1"/>
            </w:tblPr>
            <w:tblGrid>
              <w:gridCol w:w="580"/>
              <w:gridCol w:w="8198"/>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(Ben)</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ekosistemlerin</w:t>
                  </w:r>
                  <w:proofErr w:type="gramEnd"/>
                  <w:r w:rsidRPr="001C701D">
                    <w:rPr>
                      <w:rFonts w:ascii="Times New Roman" w:eastAsia="Times New Roman" w:hAnsi="Times New Roman" w:cs="Times New Roman"/>
                      <w:sz w:val="24"/>
                      <w:szCs w:val="24"/>
                      <w:lang w:eastAsia="tr-TR"/>
                    </w:rPr>
                    <w:t xml:space="preserve"> iyi durumu ve dayanıklılığı açısından önemli ölçüde zararlı; veya</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294"/>
              <w:gridCol w:w="8484"/>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(ii)</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Birlik çıkarına olanlar da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yaşam alanlarının ve türlerin korunma statülerine zarar veren.</w:t>
                  </w:r>
                </w:p>
              </w:tc>
            </w:tr>
          </w:tbl>
          <w:p w:rsidR="001C701D" w:rsidRPr="001C701D" w:rsidRDefault="001C701D" w:rsidP="001C701D">
            <w:pPr>
              <w:spacing w:after="0" w:line="240" w:lineRule="auto"/>
              <w:rPr>
                <w:rFonts w:ascii="Times New Roman" w:eastAsia="Times New Roman" w:hAnsi="Times New Roman" w:cs="Times New Roman"/>
                <w:sz w:val="24"/>
                <w:szCs w:val="24"/>
                <w:lang w:eastAsia="tr-TR"/>
              </w:rPr>
            </w:pP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2. Bir ekonomik faaliyetin 1 inci fıkrada belirtilen ölçütlere göre değerlendirilmesinde, hem faaliyetin çevresel etkisi hem de bu faaliyetle sağlanan ürün ve hizmetlerin yaşam döngüsü boyunca çevresel etkisi, özellikle bu ürün ve hizmetlerin üretimi, kullanımı ve kullanım ömrünün sonu dikkate alınarak dikkate alınır.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18</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Asgari güvenlik önlemleri</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1. Madde 3'ün (c) bendinde sözü edilen asgari güvenceler, ekonomik faaliyet yürüten bir işletmenin, OECD Çokuluslu İşletmeler Rehberi ve BM İş ve İnsan Hakları Rehber İlkeleri ile, Uluslararası Çalışma Örgütü'nün Çalışmada Temel İlkeler ve Haklar Bildirgesi'nde ve Uluslararası İnsan Hakları Yasası'nda belirtilen sekiz temel sözleşmede yer alan ilkeler ve haklar </w:t>
      </w:r>
      <w:proofErr w:type="gramStart"/>
      <w:r w:rsidRPr="001C701D">
        <w:rPr>
          <w:rFonts w:ascii="Times New Roman" w:eastAsia="Times New Roman" w:hAnsi="Times New Roman" w:cs="Times New Roman"/>
          <w:color w:val="333333"/>
          <w:sz w:val="27"/>
          <w:szCs w:val="27"/>
          <w:lang w:eastAsia="tr-TR"/>
        </w:rPr>
        <w:t>dahil</w:t>
      </w:r>
      <w:proofErr w:type="gramEnd"/>
      <w:r w:rsidRPr="001C701D">
        <w:rPr>
          <w:rFonts w:ascii="Times New Roman" w:eastAsia="Times New Roman" w:hAnsi="Times New Roman" w:cs="Times New Roman"/>
          <w:color w:val="333333"/>
          <w:sz w:val="27"/>
          <w:szCs w:val="27"/>
          <w:lang w:eastAsia="tr-TR"/>
        </w:rPr>
        <w:t xml:space="preserve"> olmak üzere, uyumu sağlamak amacıyla uyguladığı prosedürlerdir.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2. Bu maddenin 1. fıkrasında belirtilen usullerin uygulanmasında, işletmeler, (AB) 2019/2088 sayılı Tüzüğün 2 </w:t>
      </w:r>
      <w:proofErr w:type="spellStart"/>
      <w:r w:rsidRPr="001C701D">
        <w:rPr>
          <w:rFonts w:ascii="Times New Roman" w:eastAsia="Times New Roman" w:hAnsi="Times New Roman" w:cs="Times New Roman"/>
          <w:color w:val="333333"/>
          <w:sz w:val="27"/>
          <w:szCs w:val="27"/>
          <w:lang w:eastAsia="tr-TR"/>
        </w:rPr>
        <w:t>nci</w:t>
      </w:r>
      <w:proofErr w:type="spellEnd"/>
      <w:r w:rsidRPr="001C701D">
        <w:rPr>
          <w:rFonts w:ascii="Times New Roman" w:eastAsia="Times New Roman" w:hAnsi="Times New Roman" w:cs="Times New Roman"/>
          <w:color w:val="333333"/>
          <w:sz w:val="27"/>
          <w:szCs w:val="27"/>
          <w:lang w:eastAsia="tr-TR"/>
        </w:rPr>
        <w:t xml:space="preserve"> maddesinin (17) numaralı bendinde belirtilen 'önemli zarar vermeme' ilkesine bağlı kalırlar.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19</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 xml:space="preserve">Teknik tarama </w:t>
      </w:r>
      <w:proofErr w:type="gramStart"/>
      <w:r w:rsidRPr="001C701D">
        <w:rPr>
          <w:rFonts w:ascii="Times New Roman" w:eastAsia="Times New Roman" w:hAnsi="Times New Roman" w:cs="Times New Roman"/>
          <w:b/>
          <w:bCs/>
          <w:color w:val="333333"/>
          <w:sz w:val="27"/>
          <w:szCs w:val="27"/>
          <w:lang w:eastAsia="tr-TR"/>
        </w:rPr>
        <w:t>kriterlerine</w:t>
      </w:r>
      <w:proofErr w:type="gramEnd"/>
      <w:r w:rsidRPr="001C701D">
        <w:rPr>
          <w:rFonts w:ascii="Times New Roman" w:eastAsia="Times New Roman" w:hAnsi="Times New Roman" w:cs="Times New Roman"/>
          <w:b/>
          <w:bCs/>
          <w:color w:val="333333"/>
          <w:sz w:val="27"/>
          <w:szCs w:val="27"/>
          <w:lang w:eastAsia="tr-TR"/>
        </w:rPr>
        <w:t xml:space="preserve"> ilişkin gereklilikler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1. Madde 10(3), 11(3), 12(2), 13(2), 14(2) ve 15(2) uyarınca belirlenen teknik tarama </w:t>
      </w:r>
      <w:proofErr w:type="gramStart"/>
      <w:r w:rsidRPr="001C701D">
        <w:rPr>
          <w:rFonts w:ascii="Times New Roman" w:eastAsia="Times New Roman" w:hAnsi="Times New Roman" w:cs="Times New Roman"/>
          <w:color w:val="333333"/>
          <w:sz w:val="27"/>
          <w:szCs w:val="27"/>
          <w:lang w:eastAsia="tr-TR"/>
        </w:rPr>
        <w:t>kriterleri</w:t>
      </w:r>
      <w:proofErr w:type="gramEnd"/>
      <w:r w:rsidRPr="001C701D">
        <w:rPr>
          <w:rFonts w:ascii="Times New Roman" w:eastAsia="Times New Roman" w:hAnsi="Times New Roman" w:cs="Times New Roman"/>
          <w:color w:val="333333"/>
          <w:sz w:val="27"/>
          <w:szCs w:val="27"/>
          <w:lang w:eastAsia="tr-TR"/>
        </w:rPr>
        <w:t>:</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Belirli bir ekonomik faaliyetin hem kısa hem de uzun vadeli etkisini göz önünde bulundurarak, teknolojik tarafsızlık ilkesine saygı göstererek, verilen çevresel hedefe yönelik en alakalı potansiyel katkıları belirlemek;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Belirli bir ekonomik faaliyetin hem kısa hem de uzun vadeli etkisini göz önünde bulundurarak, ilgili çevresel hedeflerden herhangi birine önemli zarar gelmesini önlemek için karşılanması gereken asgari gereksinimleri belirtin;</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42"/>
        <w:gridCol w:w="8730"/>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nicel</w:t>
            </w:r>
            <w:proofErr w:type="gramEnd"/>
            <w:r w:rsidRPr="001C701D">
              <w:rPr>
                <w:rFonts w:ascii="Times New Roman" w:eastAsia="Times New Roman" w:hAnsi="Times New Roman" w:cs="Times New Roman"/>
                <w:sz w:val="24"/>
                <w:szCs w:val="24"/>
                <w:lang w:eastAsia="tr-TR"/>
              </w:rPr>
              <w:t xml:space="preserve"> olmalı ve mümkün olduğu ölçüde eşikler içermeli, aksi takdirde nitel olmalıdır;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uygun</w:t>
            </w:r>
            <w:proofErr w:type="gramEnd"/>
            <w:r w:rsidRPr="001C701D">
              <w:rPr>
                <w:rFonts w:ascii="Times New Roman" w:eastAsia="Times New Roman" w:hAnsi="Times New Roman" w:cs="Times New Roman"/>
                <w:sz w:val="24"/>
                <w:szCs w:val="24"/>
                <w:lang w:eastAsia="tr-TR"/>
              </w:rPr>
              <w:t xml:space="preserve"> olduğu durumlarda, Birlik etiketleme ve sertifikasyon şemaları, Birlik çevresel ayak izini değerlendirme metodolojileri ve Birlik istatistiksel sınıflandırma sistemleri üzerine inşa etmek ve ilgili mevcut Birlik mevzuatını dikkate almak;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67"/>
        <w:gridCol w:w="880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mümkün</w:t>
            </w:r>
            <w:proofErr w:type="gramEnd"/>
            <w:r w:rsidRPr="001C701D">
              <w:rPr>
                <w:rFonts w:ascii="Times New Roman" w:eastAsia="Times New Roman" w:hAnsi="Times New Roman" w:cs="Times New Roman"/>
                <w:sz w:val="24"/>
                <w:szCs w:val="24"/>
                <w:lang w:eastAsia="tr-TR"/>
              </w:rPr>
              <w:t xml:space="preserve"> olduğunda, (AB) 2019/2088 sayılı Yönetmeliğin 4(6) maddesinde belirtilen sürdürülebilirlik göstergelerini kullanın;</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94"/>
        <w:gridCol w:w="877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(F)</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kesin</w:t>
            </w:r>
            <w:proofErr w:type="gramEnd"/>
            <w:r w:rsidRPr="001C701D">
              <w:rPr>
                <w:rFonts w:ascii="Times New Roman" w:eastAsia="Times New Roman" w:hAnsi="Times New Roman" w:cs="Times New Roman"/>
                <w:sz w:val="24"/>
                <w:szCs w:val="24"/>
                <w:lang w:eastAsia="tr-TR"/>
              </w:rPr>
              <w:t xml:space="preserve"> bilimsel kanıtlara ve AB'nin 191. maddesinde yer alan ihtiyatlılık ilkesine dayalı olmalıdır;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(G)</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Mevcut yaşam döngüsü değerlendirmelerinden elde edilen kanıtlar da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yaşam döngüsünü, hem ekonomik faaliyetin çevresel etkisini hem de söz konusu ekonomik faaliyet tarafından sağlanan ürün ve hizmetlerin çevresel etkisini, özellikle de bu ürün ve hizmetlerin üretimini, kullanımını ve kullanım ömrünü göz önünde bulundurarak dikkate almak;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87"/>
        <w:gridCol w:w="868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(H)</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ekonomik</w:t>
            </w:r>
            <w:proofErr w:type="gramEnd"/>
            <w:r w:rsidRPr="001C701D">
              <w:rPr>
                <w:rFonts w:ascii="Times New Roman" w:eastAsia="Times New Roman" w:hAnsi="Times New Roman" w:cs="Times New Roman"/>
                <w:sz w:val="24"/>
                <w:szCs w:val="24"/>
                <w:lang w:eastAsia="tr-TR"/>
              </w:rPr>
              <w:t xml:space="preserve"> faaliyetin niteliğini ve ölçeğini dikkate almak, buna şunlar dahildir:</w:t>
            </w:r>
          </w:p>
          <w:tbl>
            <w:tblPr>
              <w:tblW w:w="5000" w:type="pct"/>
              <w:tblCellMar>
                <w:left w:w="0" w:type="dxa"/>
                <w:right w:w="0" w:type="dxa"/>
              </w:tblCellMar>
              <w:tblLook w:val="04A0" w:firstRow="1" w:lastRow="0" w:firstColumn="1" w:lastColumn="0" w:noHBand="0" w:noVBand="1"/>
            </w:tblPr>
            <w:tblGrid>
              <w:gridCol w:w="648"/>
              <w:gridCol w:w="8037"/>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(Ben)</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Madde 16'da sözü edilen bir kolaylaştırıcı faaliyet olup </w:t>
                  </w:r>
                  <w:proofErr w:type="gramStart"/>
                  <w:r w:rsidRPr="001C701D">
                    <w:rPr>
                      <w:rFonts w:ascii="Times New Roman" w:eastAsia="Times New Roman" w:hAnsi="Times New Roman" w:cs="Times New Roman"/>
                      <w:sz w:val="24"/>
                      <w:szCs w:val="24"/>
                      <w:lang w:eastAsia="tr-TR"/>
                    </w:rPr>
                    <w:t>olmadığı;</w:t>
                  </w:r>
                  <w:proofErr w:type="gramEnd"/>
                  <w:r w:rsidRPr="001C701D">
                    <w:rPr>
                      <w:rFonts w:ascii="Times New Roman" w:eastAsia="Times New Roman" w:hAnsi="Times New Roman" w:cs="Times New Roman"/>
                      <w:sz w:val="24"/>
                      <w:szCs w:val="24"/>
                      <w:lang w:eastAsia="tr-TR"/>
                    </w:rPr>
                    <w:t xml:space="preserve"> veya</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83"/>
              <w:gridCol w:w="8302"/>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(ii)</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Madde 10(2)'de belirtilen şekilde bir geçiş faaliyeti olup olmadığı;</w:t>
                  </w:r>
                </w:p>
              </w:tc>
            </w:tr>
          </w:tbl>
          <w:p w:rsidR="001C701D" w:rsidRPr="001C701D" w:rsidRDefault="001C701D" w:rsidP="001C701D">
            <w:pPr>
              <w:spacing w:after="0" w:line="240" w:lineRule="auto"/>
              <w:rPr>
                <w:rFonts w:ascii="Times New Roman" w:eastAsia="Times New Roman" w:hAnsi="Times New Roman" w:cs="Times New Roman"/>
                <w:sz w:val="24"/>
                <w:szCs w:val="24"/>
                <w:lang w:eastAsia="tr-TR"/>
              </w:rPr>
            </w:pP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547"/>
        <w:gridCol w:w="852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(Ben)</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Daha sürdürülebilir bir ekonomiye geçişin potansiyel piyasa etkisini, bu geçiş sonucunda belirli varlıkların değersiz hale gelme riskini ve sürdürülebilir yatırım için tutarsız teşvikler yaratma riskini hesaba katın;</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54"/>
        <w:gridCol w:w="881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(J)</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Belirli bir sektör içindeki tüm ilgili ekonomik faaliyetleri kapsamalı ve bu Yönetmeliğin 9 uncu maddesinde belirtilen çevresel hedeflere eşit katkıda bulunuyorlarsa, bu faaliyetlerin eşit muamele görmesini sağlayarak, piyasadaki rekabetin bozulmasını </w:t>
            </w:r>
            <w:proofErr w:type="gramStart"/>
            <w:r w:rsidRPr="001C701D">
              <w:rPr>
                <w:rFonts w:ascii="Times New Roman" w:eastAsia="Times New Roman" w:hAnsi="Times New Roman" w:cs="Times New Roman"/>
                <w:sz w:val="24"/>
                <w:szCs w:val="24"/>
                <w:lang w:eastAsia="tr-TR"/>
              </w:rPr>
              <w:t>önlemelidir;</w:t>
            </w:r>
            <w:proofErr w:type="gramEnd"/>
            <w:r w:rsidRPr="001C701D">
              <w:rPr>
                <w:rFonts w:ascii="Times New Roman" w:eastAsia="Times New Roman" w:hAnsi="Times New Roman" w:cs="Times New Roman"/>
                <w:sz w:val="24"/>
                <w:szCs w:val="24"/>
                <w:lang w:eastAsia="tr-TR"/>
              </w:rPr>
              <w:t xml:space="preserve"> ve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Kullanımı kolay olmalı ve uyumluluğunun doğrulanmasını kolaylaştıracak şekilde ayarlanmalıdır.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Ekonomik faaliyetin (h) bendinde belirtilen kategorilerden birine ait olması halinde, teknik tarama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bu durumu açıkça belirtmelidir.</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2. 1. paragrafta belirtilen teknik tarama </w:t>
      </w:r>
      <w:proofErr w:type="gramStart"/>
      <w:r w:rsidRPr="001C701D">
        <w:rPr>
          <w:rFonts w:ascii="Times New Roman" w:eastAsia="Times New Roman" w:hAnsi="Times New Roman" w:cs="Times New Roman"/>
          <w:color w:val="333333"/>
          <w:sz w:val="27"/>
          <w:szCs w:val="27"/>
          <w:lang w:eastAsia="tr-TR"/>
        </w:rPr>
        <w:t>kriterleri</w:t>
      </w:r>
      <w:proofErr w:type="gramEnd"/>
      <w:r w:rsidRPr="001C701D">
        <w:rPr>
          <w:rFonts w:ascii="Times New Roman" w:eastAsia="Times New Roman" w:hAnsi="Times New Roman" w:cs="Times New Roman"/>
          <w:color w:val="333333"/>
          <w:sz w:val="27"/>
          <w:szCs w:val="27"/>
          <w:lang w:eastAsia="tr-TR"/>
        </w:rPr>
        <w:t>, özellikle enerji verimliliği ve yenilenebilir enerji olmak üzere, sanayi öncesi seviyelerin 1,5 </w:t>
      </w:r>
      <w:r w:rsidRPr="001C701D">
        <w:rPr>
          <w:rFonts w:ascii="Times New Roman" w:eastAsia="Times New Roman" w:hAnsi="Times New Roman" w:cs="Times New Roman"/>
          <w:color w:val="333333"/>
          <w:sz w:val="19"/>
          <w:szCs w:val="19"/>
          <w:vertAlign w:val="superscript"/>
          <w:lang w:eastAsia="tr-TR"/>
        </w:rPr>
        <w:t>0</w:t>
      </w:r>
      <w:r w:rsidRPr="001C701D">
        <w:rPr>
          <w:rFonts w:ascii="Times New Roman" w:eastAsia="Times New Roman" w:hAnsi="Times New Roman" w:cs="Times New Roman"/>
          <w:color w:val="333333"/>
          <w:sz w:val="27"/>
          <w:szCs w:val="27"/>
          <w:lang w:eastAsia="tr-TR"/>
        </w:rPr>
        <w:t> C üzerinde sıcaklık artışını sınırlama yoluna uygun temiz enerji geçişine ilişkin faaliyetlere ilişkin kriterleri, bu faaliyetlerin çevresel hedeflerden herhangi birine önemli ölçüde katkıda bulunması durumunda da içerecektir.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lastRenderedPageBreak/>
        <w:t xml:space="preserve">3. 1. paragrafta belirtilen teknik tarama </w:t>
      </w:r>
      <w:proofErr w:type="gramStart"/>
      <w:r w:rsidRPr="001C701D">
        <w:rPr>
          <w:rFonts w:ascii="Times New Roman" w:eastAsia="Times New Roman" w:hAnsi="Times New Roman" w:cs="Times New Roman"/>
          <w:color w:val="333333"/>
          <w:sz w:val="27"/>
          <w:szCs w:val="27"/>
          <w:lang w:eastAsia="tr-TR"/>
        </w:rPr>
        <w:t>kriterleri</w:t>
      </w:r>
      <w:proofErr w:type="gramEnd"/>
      <w:r w:rsidRPr="001C701D">
        <w:rPr>
          <w:rFonts w:ascii="Times New Roman" w:eastAsia="Times New Roman" w:hAnsi="Times New Roman" w:cs="Times New Roman"/>
          <w:color w:val="333333"/>
          <w:sz w:val="27"/>
          <w:szCs w:val="27"/>
          <w:lang w:eastAsia="tr-TR"/>
        </w:rPr>
        <w:t>, katı fosil yakıt kullanan elektrik üretim faaliyetlerinin çevresel açıdan sürdürülebilir ekonomik faaliyet olarak nitelendirilmemesini sağlar.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4. 1. paragrafta belirtilen teknik tarama kriterleri, çevresel hedeflerden herhangi birine önemli ölçüde katkıda bulundukları ölçüde, </w:t>
      </w:r>
      <w:proofErr w:type="spellStart"/>
      <w:r w:rsidRPr="001C701D">
        <w:rPr>
          <w:rFonts w:ascii="Times New Roman" w:eastAsia="Times New Roman" w:hAnsi="Times New Roman" w:cs="Times New Roman"/>
          <w:color w:val="333333"/>
          <w:sz w:val="27"/>
          <w:szCs w:val="27"/>
          <w:lang w:eastAsia="tr-TR"/>
        </w:rPr>
        <w:t>modal</w:t>
      </w:r>
      <w:proofErr w:type="spellEnd"/>
      <w:r w:rsidRPr="001C701D">
        <w:rPr>
          <w:rFonts w:ascii="Times New Roman" w:eastAsia="Times New Roman" w:hAnsi="Times New Roman" w:cs="Times New Roman"/>
          <w:color w:val="333333"/>
          <w:sz w:val="27"/>
          <w:szCs w:val="27"/>
          <w:lang w:eastAsia="tr-TR"/>
        </w:rPr>
        <w:t xml:space="preserve"> geçiş, verimlilik önlemleri ve alternatif yakıtlar da dahil olmak üzere temiz veya iklim açısından </w:t>
      </w:r>
      <w:proofErr w:type="gramStart"/>
      <w:r w:rsidRPr="001C701D">
        <w:rPr>
          <w:rFonts w:ascii="Times New Roman" w:eastAsia="Times New Roman" w:hAnsi="Times New Roman" w:cs="Times New Roman"/>
          <w:color w:val="333333"/>
          <w:sz w:val="27"/>
          <w:szCs w:val="27"/>
          <w:lang w:eastAsia="tr-TR"/>
        </w:rPr>
        <w:t>nötr</w:t>
      </w:r>
      <w:proofErr w:type="gramEnd"/>
      <w:r w:rsidRPr="001C701D">
        <w:rPr>
          <w:rFonts w:ascii="Times New Roman" w:eastAsia="Times New Roman" w:hAnsi="Times New Roman" w:cs="Times New Roman"/>
          <w:color w:val="333333"/>
          <w:sz w:val="27"/>
          <w:szCs w:val="27"/>
          <w:lang w:eastAsia="tr-TR"/>
        </w:rPr>
        <w:t xml:space="preserve"> hareketliliğe geçişle ilgili faaliyetlere ilişkin kriterleri de içerecektir.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5. Komisyon, 1. paragrafta belirtilen teknik tarama </w:t>
      </w:r>
      <w:proofErr w:type="gramStart"/>
      <w:r w:rsidRPr="001C701D">
        <w:rPr>
          <w:rFonts w:ascii="Times New Roman" w:eastAsia="Times New Roman" w:hAnsi="Times New Roman" w:cs="Times New Roman"/>
          <w:color w:val="333333"/>
          <w:sz w:val="27"/>
          <w:szCs w:val="27"/>
          <w:lang w:eastAsia="tr-TR"/>
        </w:rPr>
        <w:t>kriterlerini</w:t>
      </w:r>
      <w:proofErr w:type="gramEnd"/>
      <w:r w:rsidRPr="001C701D">
        <w:rPr>
          <w:rFonts w:ascii="Times New Roman" w:eastAsia="Times New Roman" w:hAnsi="Times New Roman" w:cs="Times New Roman"/>
          <w:color w:val="333333"/>
          <w:sz w:val="27"/>
          <w:szCs w:val="27"/>
          <w:lang w:eastAsia="tr-TR"/>
        </w:rPr>
        <w:t xml:space="preserve"> düzenli olarak gözden geçirir ve gerektiğinde, bu Yönetmelik uyarınca kabul edilen yetki devrine dayalı tasarrufları bilimsel ve teknolojik gelişmeler doğrultusunda değiştirir.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Bu bağlamda, Komisyon, devredilmiş bir eylemi değiştirmeden veya yerine başka bir eylem koymadan önce, bu kriterlerin uygulanmasını, finansal piyasa katılımcıları tarafından uygulanmasının sonucunu ve yatırımların çevresel açıdan sürdürülebilir ekonomik faaliyetlere yönlendirilmesi de </w:t>
      </w:r>
      <w:proofErr w:type="gramStart"/>
      <w:r w:rsidRPr="001C701D">
        <w:rPr>
          <w:rFonts w:ascii="Times New Roman" w:eastAsia="Times New Roman" w:hAnsi="Times New Roman" w:cs="Times New Roman"/>
          <w:color w:val="333333"/>
          <w:sz w:val="27"/>
          <w:szCs w:val="27"/>
          <w:lang w:eastAsia="tr-TR"/>
        </w:rPr>
        <w:t>dahil</w:t>
      </w:r>
      <w:proofErr w:type="gramEnd"/>
      <w:r w:rsidRPr="001C701D">
        <w:rPr>
          <w:rFonts w:ascii="Times New Roman" w:eastAsia="Times New Roman" w:hAnsi="Times New Roman" w:cs="Times New Roman"/>
          <w:color w:val="333333"/>
          <w:sz w:val="27"/>
          <w:szCs w:val="27"/>
          <w:lang w:eastAsia="tr-TR"/>
        </w:rPr>
        <w:t xml:space="preserve"> olmak üzere sermaye piyasaları üzerindeki etkisini dikkate alarak değerlendirir.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Madde 10(2)'de sözü edilen ekonomik faaliyetlerin iklim açısından </w:t>
      </w:r>
      <w:proofErr w:type="gramStart"/>
      <w:r w:rsidRPr="001C701D">
        <w:rPr>
          <w:rFonts w:ascii="Times New Roman" w:eastAsia="Times New Roman" w:hAnsi="Times New Roman" w:cs="Times New Roman"/>
          <w:color w:val="333333"/>
          <w:sz w:val="27"/>
          <w:szCs w:val="27"/>
          <w:lang w:eastAsia="tr-TR"/>
        </w:rPr>
        <w:t>nötr</w:t>
      </w:r>
      <w:proofErr w:type="gramEnd"/>
      <w:r w:rsidRPr="001C701D">
        <w:rPr>
          <w:rFonts w:ascii="Times New Roman" w:eastAsia="Times New Roman" w:hAnsi="Times New Roman" w:cs="Times New Roman"/>
          <w:color w:val="333333"/>
          <w:sz w:val="27"/>
          <w:szCs w:val="27"/>
          <w:lang w:eastAsia="tr-TR"/>
        </w:rPr>
        <w:t xml:space="preserve"> bir ekonomiyle uyumlu güvenilir bir geçiş yolunda kalmasını sağlamak amacıyla, Komisyon bu faaliyetlere ilişkin teknik tarama kriterlerini en az üç yılda bir gözden geçirecek ve uygun durumlarda Madde 10(3)'te sözü edilen devredilmiş eylemi bilimsel ve teknolojik gelişmeler doğrultusunda değiştirecektir.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20</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Sürdürülebilir Finans Platformu</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1. Komisyon, Sürdürülebilir Finansman Platformu'nu ("Platform") kuracaktır. Platform, aşağıdaki gruplardan dengeli bir şekilde oluşacaktır:</w:t>
      </w:r>
    </w:p>
    <w:tbl>
      <w:tblPr>
        <w:tblW w:w="5000" w:type="pct"/>
        <w:tblCellMar>
          <w:left w:w="0" w:type="dxa"/>
          <w:right w:w="0" w:type="dxa"/>
        </w:tblCellMar>
        <w:tblLook w:val="04A0" w:firstRow="1" w:lastRow="0" w:firstColumn="1" w:lastColumn="0" w:noHBand="0" w:noVBand="1"/>
      </w:tblPr>
      <w:tblGrid>
        <w:gridCol w:w="519"/>
        <w:gridCol w:w="8553"/>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temsilcileri</w:t>
            </w:r>
            <w:proofErr w:type="gramEnd"/>
            <w:r w:rsidRPr="001C701D">
              <w:rPr>
                <w:rFonts w:ascii="Times New Roman" w:eastAsia="Times New Roman" w:hAnsi="Times New Roman" w:cs="Times New Roman"/>
                <w:sz w:val="24"/>
                <w:szCs w:val="24"/>
                <w:lang w:eastAsia="tr-TR"/>
              </w:rPr>
              <w:t>:</w:t>
            </w:r>
          </w:p>
          <w:tbl>
            <w:tblPr>
              <w:tblW w:w="5000" w:type="pct"/>
              <w:tblCellMar>
                <w:left w:w="0" w:type="dxa"/>
                <w:right w:w="0" w:type="dxa"/>
              </w:tblCellMar>
              <w:tblLook w:val="04A0" w:firstRow="1" w:lastRow="0" w:firstColumn="1" w:lastColumn="0" w:noHBand="0" w:noVBand="1"/>
            </w:tblPr>
            <w:tblGrid>
              <w:gridCol w:w="1763"/>
              <w:gridCol w:w="6790"/>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(Ben)</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Avrupa Çevre Ajansı;</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2263"/>
              <w:gridCol w:w="6290"/>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(ii)</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ESA'lar;</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560"/>
              <w:gridCol w:w="7993"/>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(iii)</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Avrupa Yatırım Bankası ve Avrupa Yatırım </w:t>
                  </w:r>
                  <w:proofErr w:type="gramStart"/>
                  <w:r w:rsidRPr="001C701D">
                    <w:rPr>
                      <w:rFonts w:ascii="Times New Roman" w:eastAsia="Times New Roman" w:hAnsi="Times New Roman" w:cs="Times New Roman"/>
                      <w:sz w:val="24"/>
                      <w:szCs w:val="24"/>
                      <w:lang w:eastAsia="tr-TR"/>
                    </w:rPr>
                    <w:t>Fonu;</w:t>
                  </w:r>
                  <w:proofErr w:type="gramEnd"/>
                  <w:r w:rsidRPr="001C701D">
                    <w:rPr>
                      <w:rFonts w:ascii="Times New Roman" w:eastAsia="Times New Roman" w:hAnsi="Times New Roman" w:cs="Times New Roman"/>
                      <w:sz w:val="24"/>
                      <w:szCs w:val="24"/>
                      <w:lang w:eastAsia="tr-TR"/>
                    </w:rPr>
                    <w:t xml:space="preserve"> ve</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762"/>
              <w:gridCol w:w="7791"/>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(iv)</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Avrupa Birliği Temel Haklar Ajansı;</w:t>
                  </w:r>
                </w:p>
              </w:tc>
            </w:tr>
          </w:tbl>
          <w:p w:rsidR="001C701D" w:rsidRPr="001C701D" w:rsidRDefault="001C701D" w:rsidP="001C701D">
            <w:pPr>
              <w:spacing w:after="0" w:line="240" w:lineRule="auto"/>
              <w:rPr>
                <w:rFonts w:ascii="Times New Roman" w:eastAsia="Times New Roman" w:hAnsi="Times New Roman" w:cs="Times New Roman"/>
                <w:sz w:val="24"/>
                <w:szCs w:val="24"/>
                <w:lang w:eastAsia="tr-TR"/>
              </w:rPr>
            </w:pP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finansal</w:t>
            </w:r>
            <w:proofErr w:type="gramEnd"/>
            <w:r w:rsidRPr="001C701D">
              <w:rPr>
                <w:rFonts w:ascii="Times New Roman" w:eastAsia="Times New Roman" w:hAnsi="Times New Roman" w:cs="Times New Roman"/>
                <w:sz w:val="24"/>
                <w:szCs w:val="24"/>
                <w:lang w:eastAsia="tr-TR"/>
              </w:rPr>
              <w:t xml:space="preserve"> ve finansal olmayan piyasa katılımcıları ve iş sektörleri dahil olmak üzere ilgili özel paydaşları temsil eden uzmanlar, ilgili endüstrileri temsil eden uzmanlar ve muhasebe ve raporlama uzmanlığına sahip kişiler;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çevre</w:t>
            </w:r>
            <w:proofErr w:type="gramEnd"/>
            <w:r w:rsidRPr="001C701D">
              <w:rPr>
                <w:rFonts w:ascii="Times New Roman" w:eastAsia="Times New Roman" w:hAnsi="Times New Roman" w:cs="Times New Roman"/>
                <w:sz w:val="24"/>
                <w:szCs w:val="24"/>
                <w:lang w:eastAsia="tr-TR"/>
              </w:rPr>
              <w:t>, sosyal, çalışma ve yönetişim konularında uzman kişiler de dahil olmak üzere sivil toplumu temsil eden uzmanlar;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Bu Yönetmelik kapsamındaki alanlarda bilgi ve deneyimlerini kanıtlamış, şahsen görevlendirilen uzmanlar;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67"/>
        <w:gridCol w:w="880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(e)</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Üniversiteler, araştırma enstitüleri ve diğer bilimsel kuruluşlar da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akademiyi temsil eden uzmanlar, küresel uzmanlığa sahip kişiler.</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2. Platform:</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Komisyona, 19. maddede belirtilen teknik tarama </w:t>
            </w:r>
            <w:proofErr w:type="gramStart"/>
            <w:r w:rsidRPr="001C701D">
              <w:rPr>
                <w:rFonts w:ascii="Times New Roman" w:eastAsia="Times New Roman" w:hAnsi="Times New Roman" w:cs="Times New Roman"/>
                <w:sz w:val="24"/>
                <w:szCs w:val="24"/>
                <w:lang w:eastAsia="tr-TR"/>
              </w:rPr>
              <w:t>kriterleri</w:t>
            </w:r>
            <w:proofErr w:type="gramEnd"/>
            <w:r w:rsidRPr="001C701D">
              <w:rPr>
                <w:rFonts w:ascii="Times New Roman" w:eastAsia="Times New Roman" w:hAnsi="Times New Roman" w:cs="Times New Roman"/>
                <w:sz w:val="24"/>
                <w:szCs w:val="24"/>
                <w:lang w:eastAsia="tr-TR"/>
              </w:rPr>
              <w:t xml:space="preserve"> ve bu kriterlerin güncellenmesine yönelik olası ihtiyaç konusunda tavsiyelerde bulunmak;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Teknik tarama </w:t>
            </w:r>
            <w:proofErr w:type="gramStart"/>
            <w:r w:rsidRPr="001C701D">
              <w:rPr>
                <w:rFonts w:ascii="Times New Roman" w:eastAsia="Times New Roman" w:hAnsi="Times New Roman" w:cs="Times New Roman"/>
                <w:sz w:val="24"/>
                <w:szCs w:val="24"/>
                <w:lang w:eastAsia="tr-TR"/>
              </w:rPr>
              <w:t>kriterlerinin</w:t>
            </w:r>
            <w:proofErr w:type="gramEnd"/>
            <w:r w:rsidRPr="001C701D">
              <w:rPr>
                <w:rFonts w:ascii="Times New Roman" w:eastAsia="Times New Roman" w:hAnsi="Times New Roman" w:cs="Times New Roman"/>
                <w:sz w:val="24"/>
                <w:szCs w:val="24"/>
                <w:lang w:eastAsia="tr-TR"/>
              </w:rPr>
              <w:t xml:space="preserve"> uygulanmasının potansiyel maliyetleri ve faydaları açısından etkisini analiz etmek;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Komisyona, belirli bir ekonomik faaliyet için teknik tarama </w:t>
            </w:r>
            <w:proofErr w:type="gramStart"/>
            <w:r w:rsidRPr="001C701D">
              <w:rPr>
                <w:rFonts w:ascii="Times New Roman" w:eastAsia="Times New Roman" w:hAnsi="Times New Roman" w:cs="Times New Roman"/>
                <w:sz w:val="24"/>
                <w:szCs w:val="24"/>
                <w:lang w:eastAsia="tr-TR"/>
              </w:rPr>
              <w:t>kriterlerinin</w:t>
            </w:r>
            <w:proofErr w:type="gramEnd"/>
            <w:r w:rsidRPr="001C701D">
              <w:rPr>
                <w:rFonts w:ascii="Times New Roman" w:eastAsia="Times New Roman" w:hAnsi="Times New Roman" w:cs="Times New Roman"/>
                <w:sz w:val="24"/>
                <w:szCs w:val="24"/>
                <w:lang w:eastAsia="tr-TR"/>
              </w:rPr>
              <w:t xml:space="preserve"> geliştirilmesi veya revize edilmesi yönündeki paydaşlardan gelen taleplerin analiz edilmesinde yardımcı olmak;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Uygun olduğu durumlarda, Komisyona, teknik tarama </w:t>
            </w:r>
            <w:proofErr w:type="gramStart"/>
            <w:r w:rsidRPr="001C701D">
              <w:rPr>
                <w:rFonts w:ascii="Times New Roman" w:eastAsia="Times New Roman" w:hAnsi="Times New Roman" w:cs="Times New Roman"/>
                <w:sz w:val="24"/>
                <w:szCs w:val="24"/>
                <w:lang w:eastAsia="tr-TR"/>
              </w:rPr>
              <w:t>kriterlerinin</w:t>
            </w:r>
            <w:proofErr w:type="gramEnd"/>
            <w:r w:rsidRPr="001C701D">
              <w:rPr>
                <w:rFonts w:ascii="Times New Roman" w:eastAsia="Times New Roman" w:hAnsi="Times New Roman" w:cs="Times New Roman"/>
                <w:sz w:val="24"/>
                <w:szCs w:val="24"/>
                <w:lang w:eastAsia="tr-TR"/>
              </w:rPr>
              <w:t xml:space="preserve"> uygulanmasını desteklemede sürdürülebilirlik muhasebesi ve raporlama standartlarının olası rolü konusunda tavsiyelerde bulunmak;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67"/>
        <w:gridCol w:w="880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Birlik ve Üye Devlet düzeyinde sürdürülebilir yatırıma yönelik sermaye akışlarına ilişkin eğilimleri izlemek ve düzenli olarak Komisyona raporlamak;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94"/>
        <w:gridCol w:w="877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(F)</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Komisyona, veri kullanılabilirliğini ve kalitesini iyileştirmek için daha fazla önlem geliştirme ihtiyacı konusunda tavsiyelerde bulunmak;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(G)</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Komisyona, gereksiz idari yüklerden kaçınma gerekliliğini de göz önünde bulundurarak, teknik tarama </w:t>
            </w:r>
            <w:proofErr w:type="gramStart"/>
            <w:r w:rsidRPr="001C701D">
              <w:rPr>
                <w:rFonts w:ascii="Times New Roman" w:eastAsia="Times New Roman" w:hAnsi="Times New Roman" w:cs="Times New Roman"/>
                <w:sz w:val="24"/>
                <w:szCs w:val="24"/>
                <w:lang w:eastAsia="tr-TR"/>
              </w:rPr>
              <w:t>kriterlerinin</w:t>
            </w:r>
            <w:proofErr w:type="gramEnd"/>
            <w:r w:rsidRPr="001C701D">
              <w:rPr>
                <w:rFonts w:ascii="Times New Roman" w:eastAsia="Times New Roman" w:hAnsi="Times New Roman" w:cs="Times New Roman"/>
                <w:sz w:val="24"/>
                <w:szCs w:val="24"/>
                <w:lang w:eastAsia="tr-TR"/>
              </w:rPr>
              <w:t xml:space="preserve"> kullanılabilirliği konusunda tavsiyelerde bulunmak;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74"/>
        <w:gridCol w:w="869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(H)</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Komisyona bu Tüzüğün olası değişiklik ihtiyacı konusunda tavsiyede bulunmak;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547"/>
        <w:gridCol w:w="852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(Ben)</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Komisyona, politika tutarlılığı konuları da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sürdürülebilir finans politikalarının değerlendirilmesi ve geliştirilmesi konusunda tavsiyelerde bulunmak;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54"/>
        <w:gridCol w:w="881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(J)</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Komisyona sosyal hedefler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diğer sürdürülebilirlik hedeflerinin ele alınması konusunda tavsiyelerde bulunmak;</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Komisyona 18. maddenin uygulanması ve bu maddenin gereklerinin tamamlanmasına yönelik olası ihtiyaç konusunda tavsiyelerde bulunmak.</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3. Platform, geniş bir paydaş yelpazesinin görüşlerini dikkate alacaktır.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4. Platform, Komisyon başkanlığında yürütülecek ve Komisyon uzman gruplarının oluşturulması ve işleyişine ilişkin yatay kurallara uygun olarak oluşturulacaktır. Bu bağlamda, Komisyon, özel uzmanlığa sahip uzmanları geçici olarak davet </w:t>
      </w:r>
      <w:proofErr w:type="gramStart"/>
      <w:r w:rsidRPr="001C701D">
        <w:rPr>
          <w:rFonts w:ascii="Times New Roman" w:eastAsia="Times New Roman" w:hAnsi="Times New Roman" w:cs="Times New Roman"/>
          <w:i/>
          <w:iCs/>
          <w:color w:val="333333"/>
          <w:sz w:val="27"/>
          <w:szCs w:val="27"/>
          <w:lang w:eastAsia="tr-TR"/>
        </w:rPr>
        <w:t>edebilir</w:t>
      </w:r>
      <w:r w:rsidRPr="001C701D">
        <w:rPr>
          <w:rFonts w:ascii="Times New Roman" w:eastAsia="Times New Roman" w:hAnsi="Times New Roman" w:cs="Times New Roman"/>
          <w:color w:val="333333"/>
          <w:sz w:val="27"/>
          <w:szCs w:val="27"/>
          <w:lang w:eastAsia="tr-TR"/>
        </w:rPr>
        <w:t> .</w:t>
      </w:r>
      <w:proofErr w:type="gramEnd"/>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5. Platform, görevlerini şeffaflık ilkesine uygun olarak yürütür. Komisyon, Platform toplantı tutanaklarını ve diğer ilgili belgeleri Komisyon web sitesinde yayınlar.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6. Finansal piyasa katılımcıları, bu Yönetmelik uyarınca belirlenen teknik tarama </w:t>
      </w:r>
      <w:proofErr w:type="gramStart"/>
      <w:r w:rsidRPr="001C701D">
        <w:rPr>
          <w:rFonts w:ascii="Times New Roman" w:eastAsia="Times New Roman" w:hAnsi="Times New Roman" w:cs="Times New Roman"/>
          <w:color w:val="333333"/>
          <w:sz w:val="27"/>
          <w:szCs w:val="27"/>
          <w:lang w:eastAsia="tr-TR"/>
        </w:rPr>
        <w:t>kriterlerine</w:t>
      </w:r>
      <w:proofErr w:type="gramEnd"/>
      <w:r w:rsidRPr="001C701D">
        <w:rPr>
          <w:rFonts w:ascii="Times New Roman" w:eastAsia="Times New Roman" w:hAnsi="Times New Roman" w:cs="Times New Roman"/>
          <w:color w:val="333333"/>
          <w:sz w:val="27"/>
          <w:szCs w:val="27"/>
          <w:lang w:eastAsia="tr-TR"/>
        </w:rPr>
        <w:t xml:space="preserve"> uymayan veya henüz teknik tarama kriterleri oluşturulmamış bir ekonomik faaliyetin çevresel olarak sürdürülebilir olarak nitelendirilmesi gerektiğini düşünmeleri halinde, Platforma bu durumu bildirebilirler.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21</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lastRenderedPageBreak/>
        <w:t>Yetkili makamlar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1. Üye Devletler, (AB) 2019/2088 sayılı Tüzüğün 14(1) maddesinde belirtilen yetkili makamların, finansal piyasa katılımcılarının bu Tüzüğün 5, 6 ve 7. maddelerinde belirtilen gerekliliklere uyumunu izlemesini sağlar. Üye Devletler, yetkili makamlarının bu Tüzük kapsamındaki görevlerini yerine getirebilmeleri için gerekli tüm gözetim ve soruşturma yetkilerine sahip olmasını sağlar.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2. Bu Yönetmeliğin uygulanması amacıyla yetkili makamlar birbirleriyle işbirliği yapar ve bu Yönetmelik kapsamındaki görevlerinin yerine getirilmesi için gerekli olan bilgileri gecikmeksizin birbirlerine sağlarlar.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22</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Tedbirler ve cezalar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Üye Devletler, 5, 6 ve 7. maddelerin ihlali durumunda uygulanacak tedbirler ve cezalara ilişkin kuralları belirler. Öngörülen tedbirler ve cezalar etkili, orantılı ve caydırıcı olur.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23</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Heyet uygulaması</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1. Delege edilmiş tasarrufları kabul etme yetkisi, bu Maddede belirtilen koşullara tabi olarak Komisyona verilmiştir.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2. Madde 8(4), 10(3), 11(3), 12(2), 13(2), 14(2) ve 15(2)'de belirtilen devredilmiş tasarrufları kabul etme yetkisi, 12 Temmuz 2020'den itibaren belirsiz bir süre için Komisyona verilecektir.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3. Madde 8(4), 10(3), 11(3), 12(2), 13(2), 14(2) ve 15(2)'de belirtilen yetki devri, Avrupa Parlamentosu veya Konsey tarafından herhangi bir zamanda iptal edilebilir. İptal kararı, söz konusu kararda belirtilen yetki devrine son verir. Karar, </w:t>
      </w:r>
      <w:r w:rsidRPr="001C701D">
        <w:rPr>
          <w:rFonts w:ascii="Times New Roman" w:eastAsia="Times New Roman" w:hAnsi="Times New Roman" w:cs="Times New Roman"/>
          <w:i/>
          <w:iCs/>
          <w:color w:val="333333"/>
          <w:sz w:val="27"/>
          <w:szCs w:val="27"/>
          <w:lang w:eastAsia="tr-TR"/>
        </w:rPr>
        <w:t>Avrupa Birliği Resmi Gazetesi'nde</w:t>
      </w:r>
      <w:r w:rsidRPr="001C701D">
        <w:rPr>
          <w:rFonts w:ascii="Times New Roman" w:eastAsia="Times New Roman" w:hAnsi="Times New Roman" w:cs="Times New Roman"/>
          <w:color w:val="333333"/>
          <w:sz w:val="27"/>
          <w:szCs w:val="27"/>
          <w:lang w:eastAsia="tr-TR"/>
        </w:rPr>
        <w:t xml:space="preserve"> yayımlandığı günü takip eden gün veya kararda belirtilen daha sonraki bir tarihte yürürlüğe girer. Bu karar, </w:t>
      </w:r>
      <w:proofErr w:type="gramStart"/>
      <w:r w:rsidRPr="001C701D">
        <w:rPr>
          <w:rFonts w:ascii="Times New Roman" w:eastAsia="Times New Roman" w:hAnsi="Times New Roman" w:cs="Times New Roman"/>
          <w:color w:val="333333"/>
          <w:sz w:val="27"/>
          <w:szCs w:val="27"/>
          <w:lang w:eastAsia="tr-TR"/>
        </w:rPr>
        <w:t>halihazırda</w:t>
      </w:r>
      <w:proofErr w:type="gramEnd"/>
      <w:r w:rsidRPr="001C701D">
        <w:rPr>
          <w:rFonts w:ascii="Times New Roman" w:eastAsia="Times New Roman" w:hAnsi="Times New Roman" w:cs="Times New Roman"/>
          <w:color w:val="333333"/>
          <w:sz w:val="27"/>
          <w:szCs w:val="27"/>
          <w:lang w:eastAsia="tr-TR"/>
        </w:rPr>
        <w:t xml:space="preserve"> yürürlükte olan devredilmiş tasarrufların geçerliliğini etkilemez.</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4. Komisyon, devredilmiş tasarrufların kabulünden önce ve geliştirilmesi sırasında, 24. maddede sözü edilen Sürdürülebilir Finansman Konusundaki Üye Devlet Uzman Grubu uzmanlarına danışmak da </w:t>
      </w:r>
      <w:proofErr w:type="gramStart"/>
      <w:r w:rsidRPr="001C701D">
        <w:rPr>
          <w:rFonts w:ascii="Times New Roman" w:eastAsia="Times New Roman" w:hAnsi="Times New Roman" w:cs="Times New Roman"/>
          <w:color w:val="333333"/>
          <w:sz w:val="27"/>
          <w:szCs w:val="27"/>
          <w:lang w:eastAsia="tr-TR"/>
        </w:rPr>
        <w:t>dahil</w:t>
      </w:r>
      <w:proofErr w:type="gramEnd"/>
      <w:r w:rsidRPr="001C701D">
        <w:rPr>
          <w:rFonts w:ascii="Times New Roman" w:eastAsia="Times New Roman" w:hAnsi="Times New Roman" w:cs="Times New Roman"/>
          <w:color w:val="333333"/>
          <w:sz w:val="27"/>
          <w:szCs w:val="27"/>
          <w:lang w:eastAsia="tr-TR"/>
        </w:rPr>
        <w:t xml:space="preserve"> olmak üzere, gerekli tüm uzmanlığı toplar. Komisyon, devredilmiş bir tasarruf kabul etmeden önce, 13 Nisan 2016 tarihli Daha İyi Mevzuat Yapımına İlişkin </w:t>
      </w:r>
      <w:proofErr w:type="spellStart"/>
      <w:r w:rsidRPr="001C701D">
        <w:rPr>
          <w:rFonts w:ascii="Times New Roman" w:eastAsia="Times New Roman" w:hAnsi="Times New Roman" w:cs="Times New Roman"/>
          <w:color w:val="333333"/>
          <w:sz w:val="27"/>
          <w:szCs w:val="27"/>
          <w:lang w:eastAsia="tr-TR"/>
        </w:rPr>
        <w:t>Kurumlararası</w:t>
      </w:r>
      <w:proofErr w:type="spellEnd"/>
      <w:r w:rsidRPr="001C701D">
        <w:rPr>
          <w:rFonts w:ascii="Times New Roman" w:eastAsia="Times New Roman" w:hAnsi="Times New Roman" w:cs="Times New Roman"/>
          <w:color w:val="333333"/>
          <w:sz w:val="27"/>
          <w:szCs w:val="27"/>
          <w:lang w:eastAsia="tr-TR"/>
        </w:rPr>
        <w:t xml:space="preserve"> </w:t>
      </w:r>
      <w:proofErr w:type="spellStart"/>
      <w:r w:rsidRPr="001C701D">
        <w:rPr>
          <w:rFonts w:ascii="Times New Roman" w:eastAsia="Times New Roman" w:hAnsi="Times New Roman" w:cs="Times New Roman"/>
          <w:color w:val="333333"/>
          <w:sz w:val="27"/>
          <w:szCs w:val="27"/>
          <w:lang w:eastAsia="tr-TR"/>
        </w:rPr>
        <w:t>Anlaşma'da</w:t>
      </w:r>
      <w:proofErr w:type="spellEnd"/>
      <w:r w:rsidRPr="001C701D">
        <w:rPr>
          <w:rFonts w:ascii="Times New Roman" w:eastAsia="Times New Roman" w:hAnsi="Times New Roman" w:cs="Times New Roman"/>
          <w:color w:val="333333"/>
          <w:sz w:val="27"/>
          <w:szCs w:val="27"/>
          <w:lang w:eastAsia="tr-TR"/>
        </w:rPr>
        <w:t xml:space="preserve"> belirlenen ilke ve usullere uygun hareket eder.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5. Komisyon, bir yetki devri kararını kabul eder etmez bunu aynı anda Avrupa Parlamentosu'na ve Konsey'e bildirir.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proofErr w:type="gramStart"/>
      <w:r w:rsidRPr="001C701D">
        <w:rPr>
          <w:rFonts w:ascii="Times New Roman" w:eastAsia="Times New Roman" w:hAnsi="Times New Roman" w:cs="Times New Roman"/>
          <w:color w:val="333333"/>
          <w:sz w:val="27"/>
          <w:szCs w:val="27"/>
          <w:lang w:eastAsia="tr-TR"/>
        </w:rPr>
        <w:t xml:space="preserve">6. Madde 8(4), 10(3), 11(3), 12(2), 13(2), 14(2) veya 15(2) uyarınca kabul edilen bir yetki devrine dayalı işlem, ancak Avrupa Parlamentosu veya Konsey tarafından, söz konusu işlemin Avrupa Parlamentosu ve Konsey'e bildirilmesinden itibaren dört </w:t>
      </w:r>
      <w:r w:rsidRPr="001C701D">
        <w:rPr>
          <w:rFonts w:ascii="Times New Roman" w:eastAsia="Times New Roman" w:hAnsi="Times New Roman" w:cs="Times New Roman"/>
          <w:color w:val="333333"/>
          <w:sz w:val="27"/>
          <w:szCs w:val="27"/>
          <w:lang w:eastAsia="tr-TR"/>
        </w:rPr>
        <w:lastRenderedPageBreak/>
        <w:t xml:space="preserve">aylık süre içinde herhangi bir itirazda bulunulmaması veya bu sürenin bitiminden önce Avrupa Parlamentosu ve Konsey'in her ikisinin de Komisyon'a itirazda bulunmayacaklarını bildirmeleri halinde yürürlüğe girer. </w:t>
      </w:r>
      <w:proofErr w:type="gramEnd"/>
      <w:r w:rsidRPr="001C701D">
        <w:rPr>
          <w:rFonts w:ascii="Times New Roman" w:eastAsia="Times New Roman" w:hAnsi="Times New Roman" w:cs="Times New Roman"/>
          <w:color w:val="333333"/>
          <w:sz w:val="27"/>
          <w:szCs w:val="27"/>
          <w:lang w:eastAsia="tr-TR"/>
        </w:rPr>
        <w:t>Bu süre, Avrupa Parlamentosu veya Konsey'in girişimiyle iki ay uzatılır.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24</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Sürdürülebilir Finansman Konusunda Üye Devlet Uzman Grubu</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1. Sürdürülebilir Finansman konusunda bir Üye Devlet Uzman Grubu (Üye Devlet Uzman Grubu), Komisyona teknik tarama </w:t>
      </w:r>
      <w:proofErr w:type="gramStart"/>
      <w:r w:rsidRPr="001C701D">
        <w:rPr>
          <w:rFonts w:ascii="Times New Roman" w:eastAsia="Times New Roman" w:hAnsi="Times New Roman" w:cs="Times New Roman"/>
          <w:color w:val="333333"/>
          <w:sz w:val="27"/>
          <w:szCs w:val="27"/>
          <w:lang w:eastAsia="tr-TR"/>
        </w:rPr>
        <w:t>kriterlerinin</w:t>
      </w:r>
      <w:proofErr w:type="gramEnd"/>
      <w:r w:rsidRPr="001C701D">
        <w:rPr>
          <w:rFonts w:ascii="Times New Roman" w:eastAsia="Times New Roman" w:hAnsi="Times New Roman" w:cs="Times New Roman"/>
          <w:color w:val="333333"/>
          <w:sz w:val="27"/>
          <w:szCs w:val="27"/>
          <w:lang w:eastAsia="tr-TR"/>
        </w:rPr>
        <w:t xml:space="preserve"> uygunluğu ve Platformun bu kriterlerin 19. madde uyarınca geliştirilmesine ilişkin benimsediği yaklaşım konusunda tavsiyelerde bulunacaktır.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2. Komisyon, Üye Devletler ile Komisyon arasında görüş alışverişini zamanında kolaylaştırmak amacıyla Üye Devletler Uzman Grubu toplantıları aracılığıyla Üye Devletleri bilgilendirir; özellikle Platformun temel çıktıları, örneğin yeni teknik tarama </w:t>
      </w:r>
      <w:proofErr w:type="gramStart"/>
      <w:r w:rsidRPr="001C701D">
        <w:rPr>
          <w:rFonts w:ascii="Times New Roman" w:eastAsia="Times New Roman" w:hAnsi="Times New Roman" w:cs="Times New Roman"/>
          <w:color w:val="333333"/>
          <w:sz w:val="27"/>
          <w:szCs w:val="27"/>
          <w:lang w:eastAsia="tr-TR"/>
        </w:rPr>
        <w:t>kriterleri</w:t>
      </w:r>
      <w:proofErr w:type="gramEnd"/>
      <w:r w:rsidRPr="001C701D">
        <w:rPr>
          <w:rFonts w:ascii="Times New Roman" w:eastAsia="Times New Roman" w:hAnsi="Times New Roman" w:cs="Times New Roman"/>
          <w:color w:val="333333"/>
          <w:sz w:val="27"/>
          <w:szCs w:val="27"/>
          <w:lang w:eastAsia="tr-TR"/>
        </w:rPr>
        <w:t xml:space="preserve"> veya bunların önemli güncellemeleri veya taslak raporlar hakkında.</w:t>
      </w:r>
    </w:p>
    <w:p w:rsidR="001C701D" w:rsidRPr="001C701D" w:rsidRDefault="001C701D" w:rsidP="001C701D">
      <w:pPr>
        <w:shd w:val="clear" w:color="auto" w:fill="FFFFFF"/>
        <w:spacing w:before="480" w:after="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BÖLÜM III</w:t>
      </w:r>
    </w:p>
    <w:p w:rsidR="001C701D" w:rsidRPr="001C701D" w:rsidRDefault="001C701D" w:rsidP="001C701D">
      <w:pPr>
        <w:shd w:val="clear" w:color="auto" w:fill="FFFFFF"/>
        <w:spacing w:before="75"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SON HÜKÜMLER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25</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(AB) 2019/2088 Yönetmeliğinde Değişiklikler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(AB) 2019/2088 sayılı Tüzük aşağıdaki şekilde değiştirilmiştir:</w:t>
      </w: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Aşağıdaki Madde eklenmiştir:</w:t>
            </w:r>
          </w:p>
          <w:p w:rsidR="001C701D" w:rsidRPr="001C701D" w:rsidRDefault="001C701D" w:rsidP="001C701D">
            <w:pPr>
              <w:spacing w:before="360" w:after="120" w:line="312" w:lineRule="atLeast"/>
              <w:jc w:val="center"/>
              <w:rPr>
                <w:rFonts w:ascii="Times New Roman" w:eastAsia="Times New Roman" w:hAnsi="Times New Roman" w:cs="Times New Roman"/>
                <w:i/>
                <w:iCs/>
                <w:sz w:val="24"/>
                <w:szCs w:val="24"/>
                <w:lang w:eastAsia="tr-TR"/>
              </w:rPr>
            </w:pPr>
            <w:r w:rsidRPr="001C701D">
              <w:rPr>
                <w:rFonts w:ascii="Times New Roman" w:eastAsia="Times New Roman" w:hAnsi="Times New Roman" w:cs="Times New Roman"/>
                <w:i/>
                <w:iCs/>
                <w:sz w:val="24"/>
                <w:szCs w:val="24"/>
                <w:lang w:eastAsia="tr-TR"/>
              </w:rPr>
              <w:t>'Madde 2a</w:t>
            </w:r>
          </w:p>
          <w:p w:rsidR="001C701D" w:rsidRPr="001C701D" w:rsidRDefault="001C701D" w:rsidP="001C701D">
            <w:pPr>
              <w:spacing w:before="60" w:after="120" w:line="312" w:lineRule="atLeast"/>
              <w:jc w:val="center"/>
              <w:rPr>
                <w:rFonts w:ascii="Times New Roman" w:eastAsia="Times New Roman" w:hAnsi="Times New Roman" w:cs="Times New Roman"/>
                <w:b/>
                <w:bCs/>
                <w:sz w:val="24"/>
                <w:szCs w:val="24"/>
                <w:lang w:eastAsia="tr-TR"/>
              </w:rPr>
            </w:pPr>
            <w:r w:rsidRPr="001C701D">
              <w:rPr>
                <w:rFonts w:ascii="Times New Roman" w:eastAsia="Times New Roman" w:hAnsi="Times New Roman" w:cs="Times New Roman"/>
                <w:b/>
                <w:bCs/>
                <w:sz w:val="24"/>
                <w:szCs w:val="24"/>
                <w:lang w:eastAsia="tr-TR"/>
              </w:rPr>
              <w:t>Önemli bir zarar vermeme ilkesi</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 Avrupa Parlamentosu ve Konseyinin (AB) 1093/2010, (AB) 1094/2010 ve (AB) 1095/2010 sayılı Tüzükleri (birlikte '</w:t>
            </w:r>
            <w:proofErr w:type="spellStart"/>
            <w:r w:rsidRPr="001C701D">
              <w:rPr>
                <w:rFonts w:ascii="Times New Roman" w:eastAsia="Times New Roman" w:hAnsi="Times New Roman" w:cs="Times New Roman"/>
                <w:sz w:val="24"/>
                <w:szCs w:val="24"/>
                <w:lang w:eastAsia="tr-TR"/>
              </w:rPr>
              <w:t>ÇYA'lar</w:t>
            </w:r>
            <w:proofErr w:type="spellEnd"/>
            <w:r w:rsidRPr="001C701D">
              <w:rPr>
                <w:rFonts w:ascii="Times New Roman" w:eastAsia="Times New Roman" w:hAnsi="Times New Roman" w:cs="Times New Roman"/>
                <w:sz w:val="24"/>
                <w:szCs w:val="24"/>
                <w:lang w:eastAsia="tr-TR"/>
              </w:rPr>
              <w:t xml:space="preserve">) ile kurulan Avrupa Denetim Otoriteleri, Ortak Komite aracılığıyla, bu Tüzüğün 2. maddesinin (17) numaralı noktasında sözü edilen 'önemli zarar vermeme' ilkesine ilişkin bilgilerin içeriği ve sunumunun ayrıntılarını belirtmek üzere, bu Tüzüğün 4. maddesinin 6. ve 7. paragraflarında sözü edilen olumsuz etkilere ilişkin sürdürülebilirlik göstergelerinin içeriği, </w:t>
            </w:r>
            <w:proofErr w:type="gramStart"/>
            <w:r w:rsidRPr="001C701D">
              <w:rPr>
                <w:rFonts w:ascii="Times New Roman" w:eastAsia="Times New Roman" w:hAnsi="Times New Roman" w:cs="Times New Roman"/>
                <w:sz w:val="24"/>
                <w:szCs w:val="24"/>
                <w:lang w:eastAsia="tr-TR"/>
              </w:rPr>
              <w:t>metodolojileri</w:t>
            </w:r>
            <w:proofErr w:type="gramEnd"/>
            <w:r w:rsidRPr="001C701D">
              <w:rPr>
                <w:rFonts w:ascii="Times New Roman" w:eastAsia="Times New Roman" w:hAnsi="Times New Roman" w:cs="Times New Roman"/>
                <w:sz w:val="24"/>
                <w:szCs w:val="24"/>
                <w:lang w:eastAsia="tr-TR"/>
              </w:rPr>
              <w:t xml:space="preserve"> ve sunumuyla tutarlı bir şekilde taslak düzenleyici teknik standartlar geliştirecektir.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 ESA'lar, 1. paragrafta belirtilen düzenleyici teknik standartların taslağını 30 Aralık 2020 tarihine kadar Komisyona sunar.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 Komisyona, bu Yönetmeliği, (AB) No 1093/2010, (AB) No 1094/2010 ve (AB) No 1095/2010 sayılı Yönetmeliklerin 10 ila 14. maddeleri uyarınca bu maddenin 1. fıkrasında belirtilen düzenleyici teknik standartları benimseyerek tamamlama yetkisi verilmiştir.'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Madde 8 aşağıdaki şekilde değiştirilmiştir:</w:t>
            </w:r>
          </w:p>
          <w:tbl>
            <w:tblPr>
              <w:tblW w:w="5000" w:type="pct"/>
              <w:tblCellMar>
                <w:left w:w="0" w:type="dxa"/>
                <w:right w:w="0" w:type="dxa"/>
              </w:tblCellMar>
              <w:tblLook w:val="04A0" w:firstRow="1" w:lastRow="0" w:firstColumn="1" w:lastColumn="0" w:noHBand="0" w:noVBand="1"/>
            </w:tblPr>
            <w:tblGrid>
              <w:gridCol w:w="334"/>
              <w:gridCol w:w="8458"/>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Aşağıdaki paragraf eklenir: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'2a. Finansal piyasa katılımcıları, Avrupa Parlamentosu ve Konseyinin (AB) 2020/852 sayılı Tüzüğü'nün </w:t>
                  </w:r>
                  <w:hyperlink r:id="rId87" w:anchor="ntr*1-L_2020198EN.01001301-E0071" w:history="1">
                    <w:r w:rsidRPr="001C701D">
                      <w:rPr>
                        <w:rFonts w:ascii="Times New Roman" w:eastAsia="Times New Roman" w:hAnsi="Times New Roman" w:cs="Times New Roman"/>
                        <w:color w:val="0E47CB"/>
                        <w:sz w:val="24"/>
                        <w:szCs w:val="24"/>
                        <w:lang w:eastAsia="tr-TR"/>
                      </w:rPr>
                      <w:t> ( </w:t>
                    </w:r>
                    <w:r w:rsidRPr="001C701D">
                      <w:rPr>
                        <w:rFonts w:ascii="Times New Roman" w:eastAsia="Times New Roman" w:hAnsi="Times New Roman" w:cs="Times New Roman"/>
                        <w:color w:val="0E47CB"/>
                        <w:sz w:val="17"/>
                        <w:szCs w:val="17"/>
                        <w:vertAlign w:val="superscript"/>
                        <w:lang w:eastAsia="tr-TR"/>
                      </w:rPr>
                      <w:t>*1</w:t>
                    </w:r>
                    <w:r w:rsidRPr="001C701D">
                      <w:rPr>
                        <w:rFonts w:ascii="Times New Roman" w:eastAsia="Times New Roman" w:hAnsi="Times New Roman" w:cs="Times New Roman"/>
                        <w:color w:val="0E47CB"/>
                        <w:sz w:val="24"/>
                        <w:szCs w:val="24"/>
                        <w:lang w:eastAsia="tr-TR"/>
                      </w:rPr>
                      <w:t> )</w:t>
                    </w:r>
                  </w:hyperlink>
                  <w:r w:rsidRPr="001C701D">
                    <w:rPr>
                      <w:rFonts w:ascii="Times New Roman" w:eastAsia="Times New Roman" w:hAnsi="Times New Roman" w:cs="Times New Roman"/>
                      <w:sz w:val="24"/>
                      <w:szCs w:val="24"/>
                      <w:lang w:eastAsia="tr-TR"/>
                    </w:rPr>
                    <w:t xml:space="preserve"> 6. maddesinde belirtilen bir finansal ürünü kullanıma </w:t>
                  </w:r>
                  <w:proofErr w:type="gramStart"/>
                  <w:r w:rsidRPr="001C701D">
                    <w:rPr>
                      <w:rFonts w:ascii="Times New Roman" w:eastAsia="Times New Roman" w:hAnsi="Times New Roman" w:cs="Times New Roman"/>
                      <w:sz w:val="24"/>
                      <w:szCs w:val="24"/>
                      <w:lang w:eastAsia="tr-TR"/>
                    </w:rPr>
                    <w:t>sunduklarında , bu</w:t>
                  </w:r>
                  <w:proofErr w:type="gramEnd"/>
                  <w:r w:rsidRPr="001C701D">
                    <w:rPr>
                      <w:rFonts w:ascii="Times New Roman" w:eastAsia="Times New Roman" w:hAnsi="Times New Roman" w:cs="Times New Roman"/>
                      <w:sz w:val="24"/>
                      <w:szCs w:val="24"/>
                      <w:lang w:eastAsia="tr-TR"/>
                    </w:rPr>
                    <w:t xml:space="preserve"> Tüzüğün 6(1) ve (3) maddeleri uyarınca açıklanacak bilgilere, (AB) 2020/852 sayılı Tüzüğün 6. maddesi uyarınca gerekli olan bilgileri dahil ederler.</w:t>
                  </w:r>
                </w:p>
                <w:p w:rsidR="001C701D" w:rsidRPr="001C701D" w:rsidRDefault="001C701D" w:rsidP="001C701D">
                  <w:pPr>
                    <w:spacing w:before="60" w:after="60" w:line="312" w:lineRule="atLeast"/>
                    <w:jc w:val="both"/>
                    <w:rPr>
                      <w:rFonts w:ascii="Times New Roman" w:eastAsia="Times New Roman" w:hAnsi="Times New Roman" w:cs="Times New Roman"/>
                      <w:sz w:val="19"/>
                      <w:szCs w:val="19"/>
                      <w:lang w:eastAsia="tr-TR"/>
                    </w:rPr>
                  </w:pPr>
                  <w:hyperlink r:id="rId88" w:anchor="ntc*1-L_2020198EN.01001301-E0071" w:history="1">
                    <w:r w:rsidRPr="001C701D">
                      <w:rPr>
                        <w:rFonts w:ascii="Times New Roman" w:eastAsia="Times New Roman" w:hAnsi="Times New Roman" w:cs="Times New Roman"/>
                        <w:color w:val="0E47CB"/>
                        <w:sz w:val="19"/>
                        <w:szCs w:val="19"/>
                        <w:lang w:eastAsia="tr-TR"/>
                      </w:rPr>
                      <w:t>( </w:t>
                    </w:r>
                    <w:r w:rsidRPr="001C701D">
                      <w:rPr>
                        <w:rFonts w:ascii="Times New Roman" w:eastAsia="Times New Roman" w:hAnsi="Times New Roman" w:cs="Times New Roman"/>
                        <w:color w:val="0E47CB"/>
                        <w:sz w:val="13"/>
                        <w:szCs w:val="13"/>
                        <w:vertAlign w:val="superscript"/>
                        <w:lang w:eastAsia="tr-TR"/>
                      </w:rPr>
                      <w:t>*1</w:t>
                    </w:r>
                    <w:r w:rsidRPr="001C701D">
                      <w:rPr>
                        <w:rFonts w:ascii="Times New Roman" w:eastAsia="Times New Roman" w:hAnsi="Times New Roman" w:cs="Times New Roman"/>
                        <w:color w:val="0E47CB"/>
                        <w:sz w:val="19"/>
                        <w:szCs w:val="19"/>
                        <w:lang w:eastAsia="tr-TR"/>
                      </w:rPr>
                      <w:t> )</w:t>
                    </w:r>
                  </w:hyperlink>
                  <w:r w:rsidRPr="001C701D">
                    <w:rPr>
                      <w:rFonts w:ascii="Times New Roman" w:eastAsia="Times New Roman" w:hAnsi="Times New Roman" w:cs="Times New Roman"/>
                      <w:sz w:val="19"/>
                      <w:szCs w:val="19"/>
                      <w:lang w:eastAsia="tr-TR"/>
                    </w:rPr>
                    <w:t>   Sürdürülebilir yatırımı kolaylaştıracak bir çerçevenin oluşturulması ve (AB) 2019/2088 sayılı Tüzüğün değiştirilmesi hakkında 18 Haziran 2020 tarihli (AB) 2020/852 sayılı Avrupa Parlamentosu ve Konseyi Tüzüğü (AB Resmi Gazetesi L 198, 22.6.2020, s. 13).';"</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20"/>
              <w:gridCol w:w="8472"/>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 üncü fıkranın birinci bendi aşağıdaki şekilde değiştirilmiştir: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 ESA'lar, Ortak Komite aracılığıyla, bu Maddenin 1 ve 2. paragrafları uyarınca açıklanacak bilgilerin içeriği ve sunumunun ayrıntılarını belirtmek üzere düzenleyici teknik standartların taslağını geliştirecektir.';</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20"/>
              <w:gridCol w:w="8472"/>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aşağıdaki</w:t>
                  </w:r>
                  <w:proofErr w:type="gramEnd"/>
                  <w:r w:rsidRPr="001C701D">
                    <w:rPr>
                      <w:rFonts w:ascii="Times New Roman" w:eastAsia="Times New Roman" w:hAnsi="Times New Roman" w:cs="Times New Roman"/>
                      <w:sz w:val="24"/>
                      <w:szCs w:val="24"/>
                      <w:lang w:eastAsia="tr-TR"/>
                    </w:rPr>
                    <w:t xml:space="preserve"> paragraf eklenir: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'4. ESA'lar, Ortak Komite aracılığıyla, bu Maddenin 2a paragrafında belirtilen bilgilerin içeriği ve sunumunun ayrıntılarını belirtmek üzere düzenleyici teknik standartların taslağını geliştirecektir.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 xml:space="preserve">Bu fıkranın birinci alt fıkrasında belirtilen düzenleyici teknik standartların taslağını geliştirirken, ESA'lar çeşitli finansal ürün türlerini, özelliklerini ve aralarındaki farkları dikkate almalı ve açıklamaların doğru, adil, açık, yanıltıcı olmayan, basit ve öz olması hedefini göz önünde bulundurmalı ve bu hedefe ulaşmak için gerektiğinde bu maddenin 3. fıkrasında belirtilen düzenleyici teknik standartlarda taslak değişiklikler geliştirmelidir. </w:t>
                  </w:r>
                  <w:proofErr w:type="gramEnd"/>
                  <w:r w:rsidRPr="001C701D">
                    <w:rPr>
                      <w:rFonts w:ascii="Times New Roman" w:eastAsia="Times New Roman" w:hAnsi="Times New Roman" w:cs="Times New Roman"/>
                      <w:sz w:val="24"/>
                      <w:szCs w:val="24"/>
                      <w:lang w:eastAsia="tr-TR"/>
                    </w:rPr>
                    <w:t>Taslak düzenleyici teknik standartlar, söz konusu Yönetmeliğin 9. maddesinde belirtilen çevresel hedefler açısından, (AB) 2020/852 sayılı Yönetmeliğin 27(2) maddesinin (a) ve (b) bentlerinde belirtilen ilgili uygulama tarihlerini dikkate almalıdır.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ESA'lar, birinci alt paragrafta sözü edilen düzenleyici teknik standartların taslağını Komisyona sunar:</w:t>
                  </w:r>
                </w:p>
                <w:tbl>
                  <w:tblPr>
                    <w:tblW w:w="5000" w:type="pct"/>
                    <w:tblCellMar>
                      <w:left w:w="0" w:type="dxa"/>
                      <w:right w:w="0" w:type="dxa"/>
                    </w:tblCellMar>
                    <w:tblLook w:val="04A0" w:firstRow="1" w:lastRow="0" w:firstColumn="1" w:lastColumn="0" w:noHBand="0" w:noVBand="1"/>
                  </w:tblPr>
                  <w:tblGrid>
                    <w:gridCol w:w="334"/>
                    <w:gridCol w:w="81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(AB) 2020/852 sayılı Tüzüğün 9. maddesinin (a) ve (b) bentlerinde belirtilen çevresel hedeflere ilişkin olarak, 1 Haziran 2021 tarihine </w:t>
                        </w:r>
                        <w:proofErr w:type="gramStart"/>
                        <w:r w:rsidRPr="001C701D">
                          <w:rPr>
                            <w:rFonts w:ascii="Times New Roman" w:eastAsia="Times New Roman" w:hAnsi="Times New Roman" w:cs="Times New Roman"/>
                            <w:sz w:val="24"/>
                            <w:szCs w:val="24"/>
                            <w:lang w:eastAsia="tr-TR"/>
                          </w:rPr>
                          <w:t>kadar;</w:t>
                        </w:r>
                        <w:proofErr w:type="gramEnd"/>
                        <w:r w:rsidRPr="001C701D">
                          <w:rPr>
                            <w:rFonts w:ascii="Times New Roman" w:eastAsia="Times New Roman" w:hAnsi="Times New Roman" w:cs="Times New Roman"/>
                            <w:sz w:val="24"/>
                            <w:szCs w:val="24"/>
                            <w:lang w:eastAsia="tr-TR"/>
                          </w:rPr>
                          <w:t xml:space="preserve"> ve</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20"/>
                    <w:gridCol w:w="81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(AB) 2020/852 sayılı Tüzüğün 9. maddesinin (c) ila (f) bentlerinde belirtilen çevresel hedeflere ilişkin olarak, 1 Haziran 2022 tarihine kadar.</w:t>
                        </w:r>
                      </w:p>
                    </w:tc>
                  </w:tr>
                </w:tbl>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Komisyona, bu Yönetmeliği, (AB) No 1093/2010, (AB) No 1094/2010 ve (AB) No 1095/2010 sayılı Yönetmeliklerin 10 ila 14'üncü maddeleri uyarınca, bu fıkranın birinci alt fıkrasında sözü edilen düzenleyici teknik standartları benimseyerek tamamlama yetkisi verilmiştir.'</w:t>
                  </w:r>
                </w:p>
              </w:tc>
            </w:tr>
          </w:tbl>
          <w:p w:rsidR="001C701D" w:rsidRPr="001C701D" w:rsidRDefault="001C701D" w:rsidP="001C701D">
            <w:pPr>
              <w:spacing w:after="0" w:line="240" w:lineRule="auto"/>
              <w:rPr>
                <w:rFonts w:ascii="Times New Roman" w:eastAsia="Times New Roman" w:hAnsi="Times New Roman" w:cs="Times New Roman"/>
                <w:sz w:val="24"/>
                <w:szCs w:val="24"/>
                <w:lang w:eastAsia="tr-TR"/>
              </w:rPr>
            </w:pP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Madde 9 aşağıdaki şekilde değiştirilmiştir:</w:t>
            </w:r>
          </w:p>
          <w:tbl>
            <w:tblPr>
              <w:tblW w:w="5000" w:type="pct"/>
              <w:tblCellMar>
                <w:left w:w="0" w:type="dxa"/>
                <w:right w:w="0" w:type="dxa"/>
              </w:tblCellMar>
              <w:tblLook w:val="04A0" w:firstRow="1" w:lastRow="0" w:firstColumn="1" w:lastColumn="0" w:noHBand="0" w:noVBand="1"/>
            </w:tblPr>
            <w:tblGrid>
              <w:gridCol w:w="334"/>
              <w:gridCol w:w="8458"/>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Aşağıdaki paragraf eklenir: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 xml:space="preserve">'4a. Finansal piyasa katılımcıları, bu Yönetmeliğin 6(1) ve (3) maddeleri uyarınca açıklanacak bilgilere, (AB) 2020/852 sayılı Yönetmeliğin 5. maddesi uyarınca gerekli olan bilgileri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etmek zorundadır.';</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20"/>
              <w:gridCol w:w="8472"/>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5 inci fıkranın birinci fıkrası aşağıdaki şekilde değiştirilmiştir: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'5. ESA'lar, Ortak Komite aracılığıyla, bu Maddenin 1 ila 4. paragrafları uyarınca açıklanacak bilgilerin içeriği ve sunumunun ayrıntılarını belirtmek üzere düzenleyici teknik standartların taslağını geliştirecektir.';</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20"/>
              <w:gridCol w:w="8472"/>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aşağıdaki</w:t>
                  </w:r>
                  <w:proofErr w:type="gramEnd"/>
                  <w:r w:rsidRPr="001C701D">
                    <w:rPr>
                      <w:rFonts w:ascii="Times New Roman" w:eastAsia="Times New Roman" w:hAnsi="Times New Roman" w:cs="Times New Roman"/>
                      <w:sz w:val="24"/>
                      <w:szCs w:val="24"/>
                      <w:lang w:eastAsia="tr-TR"/>
                    </w:rPr>
                    <w:t xml:space="preserve"> paragraf eklenir: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'6. ESA'lar, Ortak Komite aracılığıyla, bu Maddenin 4a paragrafında belirtilen bilgilerin içeriği ve sunumunun ayrıntılarını belirtmek üzere düzenleyici teknik standartların taslağını geliştirecektir.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 xml:space="preserve">Bu fıkranın birinci alt fıkrasında belirtilen düzenleyici teknik standartların taslağını geliştirirken, ESA'lar çeşitli finansal ürün türlerini, bu maddenin 4a fıkrasında belirtilen amaçlarını ve aralarındaki farkları dikkate almalı ve açıklamaların doğru, adil, açık, yanıltıcı olmayan, basit ve öz olması hedefini göz önünde bulundurmalı ve bu hedefe ulaşmak için gerektiğinde bu maddenin 5. fıkrasında belirtilen düzenleyici teknik standartlarda taslak değişiklikler geliştirmelidir. </w:t>
                  </w:r>
                  <w:proofErr w:type="gramEnd"/>
                  <w:r w:rsidRPr="001C701D">
                    <w:rPr>
                      <w:rFonts w:ascii="Times New Roman" w:eastAsia="Times New Roman" w:hAnsi="Times New Roman" w:cs="Times New Roman"/>
                      <w:sz w:val="24"/>
                      <w:szCs w:val="24"/>
                      <w:lang w:eastAsia="tr-TR"/>
                    </w:rPr>
                    <w:t>Taslak düzenleyici teknik standartlar, söz konusu Yönetmeliğin 9. maddesinde belirtilen çevresel hedefler açısından, (AB) 2020/852 sayılı Yönetmeliğin 27(2) maddesinin (a) ve (b) bentlerinde belirtilen ilgili uygulama tarihlerini dikkate almalıdır.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ESA'lar, birinci alt paragrafta sözü edilen düzenleyici teknik standartların taslağını Komisyona sunar:</w:t>
                  </w:r>
                </w:p>
                <w:tbl>
                  <w:tblPr>
                    <w:tblW w:w="5000" w:type="pct"/>
                    <w:tblCellMar>
                      <w:left w:w="0" w:type="dxa"/>
                      <w:right w:w="0" w:type="dxa"/>
                    </w:tblCellMar>
                    <w:tblLook w:val="04A0" w:firstRow="1" w:lastRow="0" w:firstColumn="1" w:lastColumn="0" w:noHBand="0" w:noVBand="1"/>
                  </w:tblPr>
                  <w:tblGrid>
                    <w:gridCol w:w="334"/>
                    <w:gridCol w:w="81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(AB) 2020/852 sayılı Tüzüğün 9. maddesinin (a) ve (b) bentlerinde belirtilen çevresel hedeflere ilişkin olarak, 1 Haziran 2021 tarihine </w:t>
                        </w:r>
                        <w:proofErr w:type="gramStart"/>
                        <w:r w:rsidRPr="001C701D">
                          <w:rPr>
                            <w:rFonts w:ascii="Times New Roman" w:eastAsia="Times New Roman" w:hAnsi="Times New Roman" w:cs="Times New Roman"/>
                            <w:sz w:val="24"/>
                            <w:szCs w:val="24"/>
                            <w:lang w:eastAsia="tr-TR"/>
                          </w:rPr>
                          <w:t>kadar;</w:t>
                        </w:r>
                        <w:proofErr w:type="gramEnd"/>
                        <w:r w:rsidRPr="001C701D">
                          <w:rPr>
                            <w:rFonts w:ascii="Times New Roman" w:eastAsia="Times New Roman" w:hAnsi="Times New Roman" w:cs="Times New Roman"/>
                            <w:sz w:val="24"/>
                            <w:szCs w:val="24"/>
                            <w:lang w:eastAsia="tr-TR"/>
                          </w:rPr>
                          <w:t xml:space="preserve"> ve</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20"/>
                    <w:gridCol w:w="81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(AB) 2020/852 sayılı Tüzüğün 9. maddesinin (c) ila (f) bentlerinde belirtilen çevresel hedeflere ilişkin olarak, 1 Haziran 2022 tarihine kadar.</w:t>
                        </w:r>
                      </w:p>
                    </w:tc>
                  </w:tr>
                </w:tbl>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Komisyona, bu Yönetmeliği, (AB) No 1093/2010, (AB) No 1094/2010 ve (AB) No 1095/2010 sayılı Yönetmeliklerin 10 ila 14'üncü maddeleri uyarınca, bu fıkranın birinci alt fıkrasında sözü edilen düzenleyici teknik standartları benimseyerek tamamlama yetkisi verilmiştir.'</w:t>
                  </w:r>
                </w:p>
              </w:tc>
            </w:tr>
          </w:tbl>
          <w:p w:rsidR="001C701D" w:rsidRPr="001C701D" w:rsidRDefault="001C701D" w:rsidP="001C701D">
            <w:pPr>
              <w:spacing w:after="0" w:line="240" w:lineRule="auto"/>
              <w:rPr>
                <w:rFonts w:ascii="Times New Roman" w:eastAsia="Times New Roman" w:hAnsi="Times New Roman" w:cs="Times New Roman"/>
                <w:sz w:val="24"/>
                <w:szCs w:val="24"/>
                <w:lang w:eastAsia="tr-TR"/>
              </w:rPr>
            </w:pP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(4)</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Madde 11 aşağıdaki şekilde değiştirilmiştir:</w:t>
            </w:r>
          </w:p>
          <w:tbl>
            <w:tblPr>
              <w:tblW w:w="5000" w:type="pct"/>
              <w:tblCellMar>
                <w:left w:w="0" w:type="dxa"/>
                <w:right w:w="0" w:type="dxa"/>
              </w:tblCellMar>
              <w:tblLook w:val="04A0" w:firstRow="1" w:lastRow="0" w:firstColumn="1" w:lastColumn="0" w:noHBand="0" w:noVBand="1"/>
            </w:tblPr>
            <w:tblGrid>
              <w:gridCol w:w="334"/>
              <w:gridCol w:w="8458"/>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1. paragrafa aşağıdaki hususlar eklenmiştir:</w:t>
                  </w:r>
                </w:p>
                <w:tbl>
                  <w:tblPr>
                    <w:tblW w:w="5000" w:type="pct"/>
                    <w:tblCellMar>
                      <w:left w:w="0" w:type="dxa"/>
                      <w:right w:w="0" w:type="dxa"/>
                    </w:tblCellMar>
                    <w:tblLook w:val="04A0" w:firstRow="1" w:lastRow="0" w:firstColumn="1" w:lastColumn="0" w:noHBand="0" w:noVBand="1"/>
                  </w:tblPr>
                  <w:tblGrid>
                    <w:gridCol w:w="364"/>
                    <w:gridCol w:w="8094"/>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(AB) 2020/852 sayılı Yönetmeliğin 5. maddesine tabi bir finansal ürün için, söz konusu madde uyarınca gerekli olan bilgiler;</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34"/>
                    <w:gridCol w:w="8124"/>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(AB) 2020/852 sayılı Tüzüğün 6. maddesine tabi bir finansal ürün için, söz konusu madde uyarınca gerekli olan bilgiler.'</w:t>
                        </w:r>
                      </w:p>
                    </w:tc>
                  </w:tr>
                </w:tbl>
                <w:p w:rsidR="001C701D" w:rsidRPr="001C701D" w:rsidRDefault="001C701D" w:rsidP="001C701D">
                  <w:pPr>
                    <w:spacing w:after="0" w:line="240" w:lineRule="auto"/>
                    <w:rPr>
                      <w:rFonts w:ascii="Times New Roman" w:eastAsia="Times New Roman" w:hAnsi="Times New Roman" w:cs="Times New Roman"/>
                      <w:sz w:val="24"/>
                      <w:szCs w:val="24"/>
                      <w:lang w:eastAsia="tr-TR"/>
                    </w:rPr>
                  </w:pP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20"/>
              <w:gridCol w:w="8472"/>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4 üncü fıkrada birinci alt fıkra aşağıdaki şekilde değiştirilmiştir: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lastRenderedPageBreak/>
                    <w:t>'4. ESA'lar, Ortak Komite aracılığıyla, 1. paragrafın (a) ve (b) noktalarında belirtilen bilgilerin içeriği ve sunumunun ayrıntılarını belirtmek üzere düzenleyici teknik standartların taslağını geliştirecektir.';</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20"/>
              <w:gridCol w:w="8472"/>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aşağıdaki</w:t>
                  </w:r>
                  <w:proofErr w:type="gramEnd"/>
                  <w:r w:rsidRPr="001C701D">
                    <w:rPr>
                      <w:rFonts w:ascii="Times New Roman" w:eastAsia="Times New Roman" w:hAnsi="Times New Roman" w:cs="Times New Roman"/>
                      <w:sz w:val="24"/>
                      <w:szCs w:val="24"/>
                      <w:lang w:eastAsia="tr-TR"/>
                    </w:rPr>
                    <w:t xml:space="preserve"> paragraf eklenir: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'5. ESA'lar, Ortak Komite aracılığıyla, paragraf 1'in (c) ve (d) noktalarında belirtilen bilgilerin içeriği ve sunumunun ayrıntılarını belirtmek üzere düzenleyici teknik standartların taslağını geliştirecektir.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Bu fıkranın birinci alt fıkrasında belirtilen düzenleyici teknik standartların taslağını geliştirirken, ESA'lar çeşitli finansal ürün türlerini, bunların özelliklerini ve amaçlarını ve aralarındaki farkları dikkate alacak ve gerektiğinde bu maddenin 4. fıkrasında belirtilen düzenleyici teknik standartlarda değişiklik taslakları geliştirecektir. Düzenleyici teknik standartların taslağı, söz konusu Yönetmeliğin 9. maddesinde belirtilen çevresel hedefler açısından, (AB) 2020/852 sayılı Yönetmeliğin 27(2) maddesinin (a) ve (b) bentlerinde belirtilen ilgili uygulama tarihlerini dikkate alacaktır. ESA'lar, düzenleyici ve teknolojik gelişmeler ışığında düzenleyici teknik standartları güncelleyecektir.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ESA'lar, birinci alt paragrafta sözü edilen düzenleyici teknik standartların taslağını Komisyona sunar:</w:t>
                  </w:r>
                </w:p>
                <w:tbl>
                  <w:tblPr>
                    <w:tblW w:w="5000" w:type="pct"/>
                    <w:tblCellMar>
                      <w:left w:w="0" w:type="dxa"/>
                      <w:right w:w="0" w:type="dxa"/>
                    </w:tblCellMar>
                    <w:tblLook w:val="04A0" w:firstRow="1" w:lastRow="0" w:firstColumn="1" w:lastColumn="0" w:noHBand="0" w:noVBand="1"/>
                  </w:tblPr>
                  <w:tblGrid>
                    <w:gridCol w:w="334"/>
                    <w:gridCol w:w="81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(AB) 2020/852 sayılı Tüzüğün 9. maddesinin (a) ve (b) bentlerinde belirtilen çevresel hedeflere ilişkin olarak, 1 Haziran 2021 tarihine </w:t>
                        </w:r>
                        <w:proofErr w:type="gramStart"/>
                        <w:r w:rsidRPr="001C701D">
                          <w:rPr>
                            <w:rFonts w:ascii="Times New Roman" w:eastAsia="Times New Roman" w:hAnsi="Times New Roman" w:cs="Times New Roman"/>
                            <w:sz w:val="24"/>
                            <w:szCs w:val="24"/>
                            <w:lang w:eastAsia="tr-TR"/>
                          </w:rPr>
                          <w:t>kadar;</w:t>
                        </w:r>
                        <w:proofErr w:type="gramEnd"/>
                        <w:r w:rsidRPr="001C701D">
                          <w:rPr>
                            <w:rFonts w:ascii="Times New Roman" w:eastAsia="Times New Roman" w:hAnsi="Times New Roman" w:cs="Times New Roman"/>
                            <w:sz w:val="24"/>
                            <w:szCs w:val="24"/>
                            <w:lang w:eastAsia="tr-TR"/>
                          </w:rPr>
                          <w:t xml:space="preserve"> ve</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20"/>
                    <w:gridCol w:w="81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(AB) 2020/852 sayılı Tüzüğün 9. maddesinin (c) ila (f) bentlerinde belirtilen çevresel hedeflere ilişkin olarak, 1 Haziran 2022 tarihine kadar.</w:t>
                        </w:r>
                      </w:p>
                    </w:tc>
                  </w:tr>
                </w:tbl>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Komisyona, bu Yönetmeliği, (AB) No 1093/2010, (AB) No 1094/2010 ve (AB) No 1095/2010 sayılı Yönetmeliklerin 10 ila 14'üncü maddeleri uyarınca, bu fıkranın birinci alt fıkrasında sözü edilen düzenleyici teknik standartları benimseyerek tamamlama yetkisi verilmiştir.'</w:t>
                  </w:r>
                </w:p>
              </w:tc>
            </w:tr>
          </w:tbl>
          <w:p w:rsidR="001C701D" w:rsidRPr="001C701D" w:rsidRDefault="001C701D" w:rsidP="001C701D">
            <w:pPr>
              <w:spacing w:after="0" w:line="240" w:lineRule="auto"/>
              <w:rPr>
                <w:rFonts w:ascii="Times New Roman" w:eastAsia="Times New Roman" w:hAnsi="Times New Roman" w:cs="Times New Roman"/>
                <w:sz w:val="24"/>
                <w:szCs w:val="24"/>
                <w:lang w:eastAsia="tr-TR"/>
              </w:rPr>
            </w:pP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80"/>
        <w:gridCol w:w="879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(5)</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Madde 20'nin 3'üncü fıkrası aşağıdaki şekilde değiştirilmiştir:</w:t>
            </w:r>
          </w:p>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3. Bu Maddenin 2. fıkrasından farklı olarak:</w:t>
            </w:r>
          </w:p>
          <w:tbl>
            <w:tblPr>
              <w:tblW w:w="5000" w:type="pct"/>
              <w:tblCellMar>
                <w:left w:w="0" w:type="dxa"/>
                <w:right w:w="0" w:type="dxa"/>
              </w:tblCellMar>
              <w:tblLook w:val="04A0" w:firstRow="1" w:lastRow="0" w:firstColumn="1" w:lastColumn="0" w:noHBand="0" w:noVBand="1"/>
            </w:tblPr>
            <w:tblGrid>
              <w:gridCol w:w="334"/>
              <w:gridCol w:w="845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Madde 4(6) ve (7), 8(3), 9(5), 10(2), 11(4) ve 13(2) 29 Aralık 2019 tarihinden itibaren geçerli olacaktır;</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33"/>
              <w:gridCol w:w="8459"/>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Madde 2a, 8(4), 9(6) ve 11(5) 12 Temmuz 2020 tarihinden itibaren geçerli olacaktır;</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320"/>
              <w:gridCol w:w="847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Madde 8(2a) ve 9(4a) aşağıdaki durumlarda uygulanır:</w:t>
                  </w:r>
                </w:p>
                <w:tbl>
                  <w:tblPr>
                    <w:tblW w:w="5000" w:type="pct"/>
                    <w:tblCellMar>
                      <w:left w:w="0" w:type="dxa"/>
                      <w:right w:w="0" w:type="dxa"/>
                    </w:tblCellMar>
                    <w:tblLook w:val="04A0" w:firstRow="1" w:lastRow="0" w:firstColumn="1" w:lastColumn="0" w:noHBand="0" w:noVBand="1"/>
                  </w:tblPr>
                  <w:tblGrid>
                    <w:gridCol w:w="547"/>
                    <w:gridCol w:w="7925"/>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(Ben)</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(AB) 2020/852 sayılı Tüzüğün 9. maddesinin (a) ve (b) bentlerinde belirtilen çevresel hedeflere ilişkin olarak, 1 Ocak 2022 tarihinden </w:t>
                        </w:r>
                        <w:proofErr w:type="gramStart"/>
                        <w:r w:rsidRPr="001C701D">
                          <w:rPr>
                            <w:rFonts w:ascii="Times New Roman" w:eastAsia="Times New Roman" w:hAnsi="Times New Roman" w:cs="Times New Roman"/>
                            <w:sz w:val="24"/>
                            <w:szCs w:val="24"/>
                            <w:lang w:eastAsia="tr-TR"/>
                          </w:rPr>
                          <w:t>itibaren;</w:t>
                        </w:r>
                        <w:proofErr w:type="gramEnd"/>
                        <w:r w:rsidRPr="001C701D">
                          <w:rPr>
                            <w:rFonts w:ascii="Times New Roman" w:eastAsia="Times New Roman" w:hAnsi="Times New Roman" w:cs="Times New Roman"/>
                            <w:sz w:val="24"/>
                            <w:szCs w:val="24"/>
                            <w:lang w:eastAsia="tr-TR"/>
                          </w:rPr>
                          <w:t xml:space="preserve"> ve</w:t>
                        </w: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294"/>
                    <w:gridCol w:w="8178"/>
                  </w:tblGrid>
                  <w:tr w:rsidR="001C701D" w:rsidRP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(ii)</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(AB) 2020/852 sayılı Tüzüğün 9. maddesinin (c) ila (f) bentlerinde belirtilen çevresel hedeflere ilişkin olarak, 1 Ocak 2023 tarihinden itibaren;</w:t>
                        </w:r>
                      </w:p>
                    </w:tc>
                  </w:tr>
                </w:tbl>
                <w:p w:rsidR="001C701D" w:rsidRPr="001C701D" w:rsidRDefault="001C701D" w:rsidP="001C701D">
                  <w:pPr>
                    <w:spacing w:after="0" w:line="240" w:lineRule="auto"/>
                    <w:rPr>
                      <w:rFonts w:ascii="Times New Roman" w:eastAsia="Times New Roman" w:hAnsi="Times New Roman" w:cs="Times New Roman"/>
                      <w:sz w:val="24"/>
                      <w:szCs w:val="24"/>
                      <w:lang w:eastAsia="tr-TR"/>
                    </w:rPr>
                  </w:pPr>
                </w:p>
              </w:tc>
            </w:tr>
          </w:tbl>
          <w:p w:rsidR="001C701D" w:rsidRPr="001C701D" w:rsidRDefault="001C701D" w:rsidP="001C701D">
            <w:pPr>
              <w:spacing w:after="0" w:line="240" w:lineRule="auto"/>
              <w:rPr>
                <w:rFonts w:ascii="Times New Roman" w:eastAsia="Times New Roman" w:hAnsi="Times New Roman" w:cs="Times New Roman"/>
                <w:vanish/>
                <w:sz w:val="24"/>
                <w:szCs w:val="24"/>
                <w:lang w:eastAsia="tr-TR"/>
              </w:rPr>
            </w:pPr>
          </w:p>
          <w:tbl>
            <w:tblPr>
              <w:tblW w:w="5000" w:type="pct"/>
              <w:tblCellMar>
                <w:left w:w="0" w:type="dxa"/>
                <w:right w:w="0" w:type="dxa"/>
              </w:tblCellMar>
              <w:tblLook w:val="04A0" w:firstRow="1" w:lastRow="0" w:firstColumn="1" w:lastColumn="0" w:noHBand="0" w:noVBand="1"/>
            </w:tblPr>
            <w:tblGrid>
              <w:gridCol w:w="402"/>
              <w:gridCol w:w="8390"/>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Madde 11(1), (2) ve (3) 1 Ocak 2022 tarihinden itibaren uygulanacaktır.'</w:t>
                  </w:r>
                </w:p>
              </w:tc>
            </w:tr>
          </w:tbl>
          <w:p w:rsidR="001C701D" w:rsidRPr="001C701D" w:rsidRDefault="001C701D" w:rsidP="001C701D">
            <w:pPr>
              <w:spacing w:after="0" w:line="240" w:lineRule="auto"/>
              <w:rPr>
                <w:rFonts w:ascii="Times New Roman" w:eastAsia="Times New Roman" w:hAnsi="Times New Roman" w:cs="Times New Roman"/>
                <w:sz w:val="24"/>
                <w:szCs w:val="24"/>
                <w:lang w:eastAsia="tr-TR"/>
              </w:rPr>
            </w:pPr>
          </w:p>
        </w:tc>
      </w:tr>
    </w:tbl>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lastRenderedPageBreak/>
        <w:t>Madde 26</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Gözden geçirmek</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1. Komisyon, 13 Temmuz 2022 tarihine kadar ve bundan sonraki her üç yılda bir, bu Yönetmeliğin uygulanmasına ilişkin bir rapor yayınlayacaktır. Bu raporda aşağıdaki hususlar değerlendirilecektir: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Çevresel açıdan sürdürülebilir ekonomik faaliyetler için teknik tarama </w:t>
            </w:r>
            <w:proofErr w:type="gramStart"/>
            <w:r w:rsidRPr="001C701D">
              <w:rPr>
                <w:rFonts w:ascii="Times New Roman" w:eastAsia="Times New Roman" w:hAnsi="Times New Roman" w:cs="Times New Roman"/>
                <w:sz w:val="24"/>
                <w:szCs w:val="24"/>
                <w:lang w:eastAsia="tr-TR"/>
              </w:rPr>
              <w:t>kriterlerinin</w:t>
            </w:r>
            <w:proofErr w:type="gramEnd"/>
            <w:r w:rsidRPr="001C701D">
              <w:rPr>
                <w:rFonts w:ascii="Times New Roman" w:eastAsia="Times New Roman" w:hAnsi="Times New Roman" w:cs="Times New Roman"/>
                <w:sz w:val="24"/>
                <w:szCs w:val="24"/>
                <w:lang w:eastAsia="tr-TR"/>
              </w:rPr>
              <w:t xml:space="preserve"> geliştirilmesine ilişkin olarak bu Yönetmeliğin uygulanmasında kaydedilen ilerleme;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Bir ekonomik faaliyetin çevresel açıdan sürdürülebilir olarak nitelendirilmesi için Madde 3'te belirtilen </w:t>
            </w:r>
            <w:proofErr w:type="gramStart"/>
            <w:r w:rsidRPr="001C701D">
              <w:rPr>
                <w:rFonts w:ascii="Times New Roman" w:eastAsia="Times New Roman" w:hAnsi="Times New Roman" w:cs="Times New Roman"/>
                <w:sz w:val="24"/>
                <w:szCs w:val="24"/>
                <w:lang w:eastAsia="tr-TR"/>
              </w:rPr>
              <w:t>kriterlerin</w:t>
            </w:r>
            <w:proofErr w:type="gramEnd"/>
            <w:r w:rsidRPr="001C701D">
              <w:rPr>
                <w:rFonts w:ascii="Times New Roman" w:eastAsia="Times New Roman" w:hAnsi="Times New Roman" w:cs="Times New Roman"/>
                <w:sz w:val="24"/>
                <w:szCs w:val="24"/>
                <w:lang w:eastAsia="tr-TR"/>
              </w:rPr>
              <w:t xml:space="preserve"> revize edilmesi ve tamamlanması ihtiyacı;</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(C)</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Birlik hukukunda ve Üye Devlet düzeyinde çevresel açıdan sürdürülebilir yatırım tanımının kullanılması, bu Yönetmelikte belirtilen kriterlere uyumun doğrulanması için gerekli mekanizmaların kurulması için gereken hükümler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(D)</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Yönetmelik uyarınca oluşturulan teknik tarama kriterlerinin, özel yatırımların çevresel açıdan sürdürülebilir ekonomik faaliyetlere ve özellikle sermaye akışlarının (öz sermaye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özel işletmelere ve diğer tüzel kişilere yönlendirilmesi konusunda, hem bu Yönetmelik kapsamındaki finansal ürünler hem de diğer finansal ürünler aracılığıyla uygulanmasının etkinliği;</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267"/>
        <w:gridCol w:w="880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(e)</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Bu Yönetmelik kapsamındaki finansal piyasa katılımcılarının ve yatırımcıların, bu Yönetmelik kapsamında ve dışında kalan özel işletmeler ve yatırım yapılan şirketler de </w:t>
            </w:r>
            <w:proofErr w:type="gramStart"/>
            <w:r w:rsidRPr="001C701D">
              <w:rPr>
                <w:rFonts w:ascii="Times New Roman" w:eastAsia="Times New Roman" w:hAnsi="Times New Roman" w:cs="Times New Roman"/>
                <w:sz w:val="24"/>
                <w:szCs w:val="24"/>
                <w:lang w:eastAsia="tr-TR"/>
              </w:rPr>
              <w:t>dahil</w:t>
            </w:r>
            <w:proofErr w:type="gramEnd"/>
            <w:r w:rsidRPr="001C701D">
              <w:rPr>
                <w:rFonts w:ascii="Times New Roman" w:eastAsia="Times New Roman" w:hAnsi="Times New Roman" w:cs="Times New Roman"/>
                <w:sz w:val="24"/>
                <w:szCs w:val="24"/>
                <w:lang w:eastAsia="tr-TR"/>
              </w:rPr>
              <w:t xml:space="preserve"> olmak üzere diğer tüzel kişiler ile her iki durumda da öz sermaye ve borç sermayesi ile ilgili olarak, ilgili idari yükü de dikkate alarak, güvenilir, zamanında ve doğrulanabilir bilgi ve verilere erişimi ve teknik tarama kriterlerine uyum derecesinin belirlenmesi ve bu prosedürlere uyumun sağlanması için gerekli verilerin doğrulanmasına ilişkin prosedürler;</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727"/>
        <w:gridCol w:w="8345"/>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(F)</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21 ve 22. maddelerin uygulanması.</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2. Komisyon, 31 Aralık 2021 tarihine kadar, bu Yönetmeliğin kapsamını çevresel açıdan sürdürülebilir ekonomik faaliyetlerin ötesine genişletmek için gerekli olan hükümleri ve aşağıdakileri kapsaması gereken hükümleri açıklayan bir rapor yayınlayacaktır: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çevresel</w:t>
            </w:r>
            <w:proofErr w:type="gramEnd"/>
            <w:r w:rsidRPr="001C701D">
              <w:rPr>
                <w:rFonts w:ascii="Times New Roman" w:eastAsia="Times New Roman" w:hAnsi="Times New Roman" w:cs="Times New Roman"/>
                <w:sz w:val="24"/>
                <w:szCs w:val="24"/>
                <w:lang w:eastAsia="tr-TR"/>
              </w:rPr>
              <w:t xml:space="preserve"> sürdürülebilirlik üzerinde önemli bir etkisi olmayan ekonomik faaliyetler ve çevresel sürdürülebilirliğe önemli ölçüde zarar veren ekonomik faaliyetler ile geçiş ve etkinleştirme faaliyetlerine ilişkin belirli açıklama gerekliliklerinin uygunluğunun incelenmesi; ve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543"/>
        <w:gridCol w:w="8529"/>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proofErr w:type="gramStart"/>
            <w:r w:rsidRPr="001C701D">
              <w:rPr>
                <w:rFonts w:ascii="Times New Roman" w:eastAsia="Times New Roman" w:hAnsi="Times New Roman" w:cs="Times New Roman"/>
                <w:sz w:val="24"/>
                <w:szCs w:val="24"/>
                <w:lang w:eastAsia="tr-TR"/>
              </w:rPr>
              <w:t>sosyal</w:t>
            </w:r>
            <w:proofErr w:type="gramEnd"/>
            <w:r w:rsidRPr="001C701D">
              <w:rPr>
                <w:rFonts w:ascii="Times New Roman" w:eastAsia="Times New Roman" w:hAnsi="Times New Roman" w:cs="Times New Roman"/>
                <w:sz w:val="24"/>
                <w:szCs w:val="24"/>
                <w:lang w:eastAsia="tr-TR"/>
              </w:rPr>
              <w:t xml:space="preserve"> hedefler gibi diğer sürdürülebilirlik hedefleri.</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3. Komisyon, 13 Temmuz 2022 tarihine kadar, bu Yönetmelik kapsamında belirlenen teknik tarama </w:t>
      </w:r>
      <w:proofErr w:type="gramStart"/>
      <w:r w:rsidRPr="001C701D">
        <w:rPr>
          <w:rFonts w:ascii="Times New Roman" w:eastAsia="Times New Roman" w:hAnsi="Times New Roman" w:cs="Times New Roman"/>
          <w:color w:val="333333"/>
          <w:sz w:val="27"/>
          <w:szCs w:val="27"/>
          <w:lang w:eastAsia="tr-TR"/>
        </w:rPr>
        <w:t>kriterlerinin</w:t>
      </w:r>
      <w:proofErr w:type="gramEnd"/>
      <w:r w:rsidRPr="001C701D">
        <w:rPr>
          <w:rFonts w:ascii="Times New Roman" w:eastAsia="Times New Roman" w:hAnsi="Times New Roman" w:cs="Times New Roman"/>
          <w:color w:val="333333"/>
          <w:sz w:val="27"/>
          <w:szCs w:val="27"/>
          <w:lang w:eastAsia="tr-TR"/>
        </w:rPr>
        <w:t xml:space="preserve"> geliştirilmesine ilişkin danışmanlık prosedürlerinin etkinliğini değerlendirecektir.</w:t>
      </w:r>
    </w:p>
    <w:p w:rsidR="001C701D" w:rsidRPr="001C701D" w:rsidRDefault="001C701D" w:rsidP="001C701D">
      <w:pPr>
        <w:shd w:val="clear" w:color="auto" w:fill="FFFFFF"/>
        <w:spacing w:before="360" w:after="120" w:line="312" w:lineRule="atLeast"/>
        <w:jc w:val="center"/>
        <w:rPr>
          <w:rFonts w:ascii="Times New Roman" w:eastAsia="Times New Roman" w:hAnsi="Times New Roman" w:cs="Times New Roman"/>
          <w:i/>
          <w:iCs/>
          <w:color w:val="333333"/>
          <w:sz w:val="27"/>
          <w:szCs w:val="27"/>
          <w:lang w:eastAsia="tr-TR"/>
        </w:rPr>
      </w:pPr>
      <w:r w:rsidRPr="001C701D">
        <w:rPr>
          <w:rFonts w:ascii="Times New Roman" w:eastAsia="Times New Roman" w:hAnsi="Times New Roman" w:cs="Times New Roman"/>
          <w:i/>
          <w:iCs/>
          <w:color w:val="333333"/>
          <w:sz w:val="27"/>
          <w:szCs w:val="27"/>
          <w:lang w:eastAsia="tr-TR"/>
        </w:rPr>
        <w:t>Madde 27</w:t>
      </w:r>
    </w:p>
    <w:p w:rsidR="001C701D" w:rsidRPr="001C701D" w:rsidRDefault="001C701D" w:rsidP="001C701D">
      <w:pPr>
        <w:shd w:val="clear" w:color="auto" w:fill="FFFFFF"/>
        <w:spacing w:before="60" w:after="120" w:line="312" w:lineRule="atLeast"/>
        <w:jc w:val="center"/>
        <w:rPr>
          <w:rFonts w:ascii="Times New Roman" w:eastAsia="Times New Roman" w:hAnsi="Times New Roman" w:cs="Times New Roman"/>
          <w:b/>
          <w:bCs/>
          <w:color w:val="333333"/>
          <w:sz w:val="27"/>
          <w:szCs w:val="27"/>
          <w:lang w:eastAsia="tr-TR"/>
        </w:rPr>
      </w:pPr>
      <w:r w:rsidRPr="001C701D">
        <w:rPr>
          <w:rFonts w:ascii="Times New Roman" w:eastAsia="Times New Roman" w:hAnsi="Times New Roman" w:cs="Times New Roman"/>
          <w:b/>
          <w:bCs/>
          <w:color w:val="333333"/>
          <w:sz w:val="27"/>
          <w:szCs w:val="27"/>
          <w:lang w:eastAsia="tr-TR"/>
        </w:rPr>
        <w:t>Yürürlüğe girme ve uygulama</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i/>
          <w:iCs/>
          <w:color w:val="333333"/>
          <w:sz w:val="27"/>
          <w:szCs w:val="27"/>
          <w:lang w:eastAsia="tr-TR"/>
        </w:rPr>
        <w:lastRenderedPageBreak/>
        <w:t xml:space="preserve">1. Bu </w:t>
      </w:r>
      <w:proofErr w:type="gramStart"/>
      <w:r w:rsidRPr="001C701D">
        <w:rPr>
          <w:rFonts w:ascii="Times New Roman" w:eastAsia="Times New Roman" w:hAnsi="Times New Roman" w:cs="Times New Roman"/>
          <w:i/>
          <w:iCs/>
          <w:color w:val="333333"/>
          <w:sz w:val="27"/>
          <w:szCs w:val="27"/>
          <w:lang w:eastAsia="tr-TR"/>
        </w:rPr>
        <w:t>Yönetmelik , Avrupa</w:t>
      </w:r>
      <w:proofErr w:type="gramEnd"/>
      <w:r w:rsidRPr="001C701D">
        <w:rPr>
          <w:rFonts w:ascii="Times New Roman" w:eastAsia="Times New Roman" w:hAnsi="Times New Roman" w:cs="Times New Roman"/>
          <w:i/>
          <w:iCs/>
          <w:color w:val="333333"/>
          <w:sz w:val="27"/>
          <w:szCs w:val="27"/>
          <w:lang w:eastAsia="tr-TR"/>
        </w:rPr>
        <w:t xml:space="preserve"> Birliği Resmi Gazetesinde</w:t>
      </w:r>
      <w:r w:rsidRPr="001C701D">
        <w:rPr>
          <w:rFonts w:ascii="Times New Roman" w:eastAsia="Times New Roman" w:hAnsi="Times New Roman" w:cs="Times New Roman"/>
          <w:color w:val="333333"/>
          <w:sz w:val="27"/>
          <w:szCs w:val="27"/>
          <w:lang w:eastAsia="tr-TR"/>
        </w:rPr>
        <w:t> yayımlandığı tarihi izleyen yirminci gün yürürlüğe girer .</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2. Madde 4, 5, 6 ve 7 ile Madde 8(1), (2) ve (3) aşağıdaki durumlarda uygulanır:</w:t>
      </w:r>
    </w:p>
    <w:tbl>
      <w:tblPr>
        <w:tblW w:w="5000" w:type="pct"/>
        <w:tblCellMar>
          <w:left w:w="0" w:type="dxa"/>
          <w:right w:w="0" w:type="dxa"/>
        </w:tblCellMar>
        <w:tblLook w:val="04A0" w:firstRow="1" w:lastRow="0" w:firstColumn="1" w:lastColumn="0" w:noHBand="0" w:noVBand="1"/>
      </w:tblPr>
      <w:tblGrid>
        <w:gridCol w:w="334"/>
        <w:gridCol w:w="8738"/>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(A)</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 xml:space="preserve">9 uncu maddenin (a) ve (b) bentlerinde belirtilen çevresel hedefler bakımından 1 Ocak 2022 tarihinden </w:t>
            </w:r>
            <w:proofErr w:type="gramStart"/>
            <w:r w:rsidRPr="001C701D">
              <w:rPr>
                <w:rFonts w:ascii="Times New Roman" w:eastAsia="Times New Roman" w:hAnsi="Times New Roman" w:cs="Times New Roman"/>
                <w:sz w:val="24"/>
                <w:szCs w:val="24"/>
                <w:lang w:eastAsia="tr-TR"/>
              </w:rPr>
              <w:t>itibaren;</w:t>
            </w:r>
            <w:proofErr w:type="gramEnd"/>
            <w:r w:rsidRPr="001C701D">
              <w:rPr>
                <w:rFonts w:ascii="Times New Roman" w:eastAsia="Times New Roman" w:hAnsi="Times New Roman" w:cs="Times New Roman"/>
                <w:sz w:val="24"/>
                <w:szCs w:val="24"/>
                <w:lang w:eastAsia="tr-TR"/>
              </w:rPr>
              <w:t xml:space="preserve"> ve</w:t>
            </w:r>
          </w:p>
        </w:tc>
      </w:tr>
    </w:tbl>
    <w:p w:rsidR="001C701D" w:rsidRPr="001C701D" w:rsidRDefault="001C701D" w:rsidP="001C701D">
      <w:pPr>
        <w:shd w:val="clear" w:color="auto" w:fill="FFFFFF"/>
        <w:spacing w:after="0" w:line="240" w:lineRule="auto"/>
        <w:rPr>
          <w:rFonts w:ascii="Times New Roman" w:eastAsia="Times New Roman" w:hAnsi="Times New Roman" w:cs="Times New Roman"/>
          <w:vanish/>
          <w:color w:val="333333"/>
          <w:sz w:val="27"/>
          <w:szCs w:val="27"/>
          <w:lang w:eastAsia="tr-TR"/>
        </w:rPr>
      </w:pPr>
    </w:p>
    <w:tbl>
      <w:tblPr>
        <w:tblW w:w="5000" w:type="pct"/>
        <w:tblCellMar>
          <w:left w:w="0" w:type="dxa"/>
          <w:right w:w="0" w:type="dxa"/>
        </w:tblCellMar>
        <w:tblLook w:val="04A0" w:firstRow="1" w:lastRow="0" w:firstColumn="1" w:lastColumn="0" w:noHBand="0" w:noVBand="1"/>
      </w:tblPr>
      <w:tblGrid>
        <w:gridCol w:w="320"/>
        <w:gridCol w:w="8752"/>
      </w:tblGrid>
      <w:tr w:rsidR="001C701D" w:rsidRPr="001C701D" w:rsidTr="001C701D">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(B)</w:t>
            </w:r>
          </w:p>
        </w:tc>
        <w:tc>
          <w:tcPr>
            <w:tcW w:w="0" w:type="auto"/>
            <w:shd w:val="clear" w:color="auto" w:fill="auto"/>
            <w:hideMark/>
          </w:tcPr>
          <w:p w:rsidR="001C701D" w:rsidRPr="001C701D" w:rsidRDefault="001C701D" w:rsidP="001C701D">
            <w:pPr>
              <w:spacing w:before="120" w:after="0" w:line="312" w:lineRule="atLeast"/>
              <w:jc w:val="both"/>
              <w:rPr>
                <w:rFonts w:ascii="Times New Roman" w:eastAsia="Times New Roman" w:hAnsi="Times New Roman" w:cs="Times New Roman"/>
                <w:sz w:val="24"/>
                <w:szCs w:val="24"/>
                <w:lang w:eastAsia="tr-TR"/>
              </w:rPr>
            </w:pPr>
            <w:r w:rsidRPr="001C701D">
              <w:rPr>
                <w:rFonts w:ascii="Times New Roman" w:eastAsia="Times New Roman" w:hAnsi="Times New Roman" w:cs="Times New Roman"/>
                <w:sz w:val="24"/>
                <w:szCs w:val="24"/>
                <w:lang w:eastAsia="tr-TR"/>
              </w:rPr>
              <w:t>9 uncu maddenin (c) ila (f) bentlerinde belirtilen çevresel hedefler bakımından 1 Ocak 2023 tarihinden itibaren.</w:t>
            </w:r>
          </w:p>
        </w:tc>
      </w:tr>
    </w:tbl>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 xml:space="preserve">3. Bu Yönetmeliğin yürürlüğe girmesinden önce mevcut olan ve sürdürülebilir projelerin finansmanını amaçlayan finansal ürünlere ilişkin şartları düzenleyen sertifika </w:t>
      </w:r>
      <w:proofErr w:type="gramStart"/>
      <w:r w:rsidRPr="001C701D">
        <w:rPr>
          <w:rFonts w:ascii="Times New Roman" w:eastAsia="Times New Roman" w:hAnsi="Times New Roman" w:cs="Times New Roman"/>
          <w:color w:val="333333"/>
          <w:sz w:val="27"/>
          <w:szCs w:val="27"/>
          <w:lang w:eastAsia="tr-TR"/>
        </w:rPr>
        <w:t>bazlı</w:t>
      </w:r>
      <w:proofErr w:type="gramEnd"/>
      <w:r w:rsidRPr="001C701D">
        <w:rPr>
          <w:rFonts w:ascii="Times New Roman" w:eastAsia="Times New Roman" w:hAnsi="Times New Roman" w:cs="Times New Roman"/>
          <w:color w:val="333333"/>
          <w:sz w:val="27"/>
          <w:szCs w:val="27"/>
          <w:lang w:eastAsia="tr-TR"/>
        </w:rPr>
        <w:t xml:space="preserve"> vergi teşvik uygulamalarına 4 üncü madde uygulanmaz.</w:t>
      </w:r>
    </w:p>
    <w:p w:rsidR="001C701D" w:rsidRPr="001C701D" w:rsidRDefault="001C701D" w:rsidP="001C701D">
      <w:pPr>
        <w:shd w:val="clear" w:color="auto" w:fill="FFFFFF"/>
        <w:spacing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Bu Yönetmelik bütünüyle bağlayıcıdır ve tüm Üye Devletlerde doğrudan uygulanır.</w:t>
      </w:r>
    </w:p>
    <w:p w:rsidR="001C701D" w:rsidRPr="001C701D" w:rsidRDefault="001C701D" w:rsidP="001C701D">
      <w:pPr>
        <w:shd w:val="clear" w:color="auto" w:fill="FFFFFF"/>
        <w:spacing w:before="120" w:after="0" w:line="312" w:lineRule="atLeast"/>
        <w:jc w:val="both"/>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18 Haziran 2020 tarihinde Brüksel'de imzalanmıştır.</w:t>
      </w:r>
    </w:p>
    <w:p w:rsidR="001C701D" w:rsidRPr="001C701D" w:rsidRDefault="001C701D" w:rsidP="001C701D">
      <w:pPr>
        <w:shd w:val="clear" w:color="auto" w:fill="FFFFFF"/>
        <w:spacing w:before="60" w:after="60" w:line="312" w:lineRule="atLeast"/>
        <w:jc w:val="center"/>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i/>
          <w:iCs/>
          <w:color w:val="333333"/>
          <w:sz w:val="27"/>
          <w:szCs w:val="27"/>
          <w:lang w:eastAsia="tr-TR"/>
        </w:rPr>
        <w:t>Avrupa Parlamentosu için</w:t>
      </w:r>
    </w:p>
    <w:p w:rsidR="001C701D" w:rsidRPr="001C701D" w:rsidRDefault="001C701D" w:rsidP="001C701D">
      <w:pPr>
        <w:shd w:val="clear" w:color="auto" w:fill="FFFFFF"/>
        <w:spacing w:before="60" w:after="60" w:line="312" w:lineRule="atLeast"/>
        <w:jc w:val="center"/>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i/>
          <w:iCs/>
          <w:color w:val="333333"/>
          <w:sz w:val="27"/>
          <w:szCs w:val="27"/>
          <w:lang w:eastAsia="tr-TR"/>
        </w:rPr>
        <w:t>Başkan</w:t>
      </w:r>
    </w:p>
    <w:p w:rsidR="001C701D" w:rsidRPr="001C701D" w:rsidRDefault="001C701D" w:rsidP="001C701D">
      <w:pPr>
        <w:shd w:val="clear" w:color="auto" w:fill="FFFFFF"/>
        <w:spacing w:before="60" w:after="60" w:line="312" w:lineRule="atLeast"/>
        <w:jc w:val="center"/>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DM SASSOLI</w:t>
      </w:r>
    </w:p>
    <w:p w:rsidR="001C701D" w:rsidRPr="001C701D" w:rsidRDefault="001C701D" w:rsidP="001C701D">
      <w:pPr>
        <w:shd w:val="clear" w:color="auto" w:fill="FFFFFF"/>
        <w:spacing w:before="60" w:after="60" w:line="312" w:lineRule="atLeast"/>
        <w:jc w:val="center"/>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i/>
          <w:iCs/>
          <w:color w:val="333333"/>
          <w:sz w:val="27"/>
          <w:szCs w:val="27"/>
          <w:lang w:eastAsia="tr-TR"/>
        </w:rPr>
        <w:t>Konsey adına</w:t>
      </w:r>
    </w:p>
    <w:p w:rsidR="001C701D" w:rsidRPr="001C701D" w:rsidRDefault="001C701D" w:rsidP="001C701D">
      <w:pPr>
        <w:shd w:val="clear" w:color="auto" w:fill="FFFFFF"/>
        <w:spacing w:before="60" w:after="60" w:line="312" w:lineRule="atLeast"/>
        <w:jc w:val="center"/>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i/>
          <w:iCs/>
          <w:color w:val="333333"/>
          <w:sz w:val="27"/>
          <w:szCs w:val="27"/>
          <w:lang w:eastAsia="tr-TR"/>
        </w:rPr>
        <w:t>Başkan</w:t>
      </w:r>
    </w:p>
    <w:p w:rsidR="001C701D" w:rsidRPr="001C701D" w:rsidRDefault="001C701D" w:rsidP="001C701D">
      <w:pPr>
        <w:shd w:val="clear" w:color="auto" w:fill="FFFFFF"/>
        <w:spacing w:before="60" w:after="60" w:line="312" w:lineRule="atLeast"/>
        <w:jc w:val="center"/>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t>N. BRNJAC</w:t>
      </w:r>
    </w:p>
    <w:p w:rsidR="001C701D" w:rsidRPr="001C701D" w:rsidRDefault="001C701D" w:rsidP="001C701D">
      <w:pPr>
        <w:shd w:val="clear" w:color="auto" w:fill="FFFFFF"/>
        <w:spacing w:before="240" w:after="60" w:line="240" w:lineRule="auto"/>
        <w:rPr>
          <w:rFonts w:ascii="Times New Roman" w:eastAsia="Times New Roman" w:hAnsi="Times New Roman" w:cs="Times New Roman"/>
          <w:color w:val="333333"/>
          <w:sz w:val="27"/>
          <w:szCs w:val="27"/>
          <w:lang w:eastAsia="tr-TR"/>
        </w:rPr>
      </w:pPr>
      <w:r w:rsidRPr="001C701D">
        <w:rPr>
          <w:rFonts w:ascii="Times New Roman" w:eastAsia="Times New Roman" w:hAnsi="Times New Roman" w:cs="Times New Roman"/>
          <w:color w:val="333333"/>
          <w:sz w:val="27"/>
          <w:szCs w:val="27"/>
          <w:lang w:eastAsia="tr-TR"/>
        </w:rPr>
        <w:pict>
          <v:rect id="_x0000_i1026" style="width:130.9pt;height:.75pt" o:hrpct="0" o:hrstd="t" o:hrnoshade="t" o:hr="t" fillcolor="black" stroked="f"/>
        </w:pic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89" w:anchor="ntc1-L_2020198EN.01001301-E0001"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1</w:t>
        </w:r>
        <w:r w:rsidRPr="001C701D">
          <w:rPr>
            <w:rFonts w:ascii="Times New Roman" w:eastAsia="Times New Roman" w:hAnsi="Times New Roman" w:cs="Times New Roman"/>
            <w:color w:val="0E47CB"/>
            <w:lang w:eastAsia="tr-TR"/>
          </w:rPr>
          <w:t> ) </w:t>
        </w:r>
      </w:hyperlink>
      <w:r w:rsidRPr="001C701D">
        <w:rPr>
          <w:rFonts w:ascii="Times New Roman" w:eastAsia="Times New Roman" w:hAnsi="Times New Roman" w:cs="Times New Roman"/>
          <w:color w:val="333333"/>
          <w:lang w:eastAsia="tr-TR"/>
        </w:rPr>
        <w:t>   </w:t>
      </w:r>
      <w:hyperlink r:id="rId90" w:history="1">
        <w:r w:rsidRPr="001C701D">
          <w:rPr>
            <w:rFonts w:ascii="Times New Roman" w:eastAsia="Times New Roman" w:hAnsi="Times New Roman" w:cs="Times New Roman"/>
            <w:color w:val="0E47CB"/>
            <w:lang w:eastAsia="tr-TR"/>
          </w:rPr>
          <w:t>OJ C 62, 15.2.2019, s. 103</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91" w:anchor="ntc2-L_2020198EN.01001301-E0002"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2</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xml:space="preserve">   Avrupa Parlamentosu'nun 28 Mart 2019 tarihli tutumu (Resmi </w:t>
      </w:r>
      <w:proofErr w:type="spellStart"/>
      <w:r w:rsidRPr="001C701D">
        <w:rPr>
          <w:rFonts w:ascii="Times New Roman" w:eastAsia="Times New Roman" w:hAnsi="Times New Roman" w:cs="Times New Roman"/>
          <w:color w:val="333333"/>
          <w:lang w:eastAsia="tr-TR"/>
        </w:rPr>
        <w:t>Gazete'de</w:t>
      </w:r>
      <w:proofErr w:type="spellEnd"/>
      <w:r w:rsidRPr="001C701D">
        <w:rPr>
          <w:rFonts w:ascii="Times New Roman" w:eastAsia="Times New Roman" w:hAnsi="Times New Roman" w:cs="Times New Roman"/>
          <w:color w:val="333333"/>
          <w:lang w:eastAsia="tr-TR"/>
        </w:rPr>
        <w:t xml:space="preserve"> henüz yayımlanmamıştır) ve Konseyin 15 Nisan 2020 tarihli ilk okumadaki tutumu ( </w:t>
      </w:r>
      <w:hyperlink r:id="rId92" w:history="1">
        <w:r w:rsidRPr="001C701D">
          <w:rPr>
            <w:rFonts w:ascii="Times New Roman" w:eastAsia="Times New Roman" w:hAnsi="Times New Roman" w:cs="Times New Roman"/>
            <w:color w:val="0E47CB"/>
            <w:lang w:eastAsia="tr-TR"/>
          </w:rPr>
          <w:t>OJ C 184, 3.6.2020, s. 1</w:t>
        </w:r>
      </w:hyperlink>
      <w:r w:rsidRPr="001C701D">
        <w:rPr>
          <w:rFonts w:ascii="Times New Roman" w:eastAsia="Times New Roman" w:hAnsi="Times New Roman" w:cs="Times New Roman"/>
          <w:color w:val="333333"/>
          <w:lang w:eastAsia="tr-TR"/>
        </w:rPr>
        <w:t xml:space="preserve"> ). Avrupa Parlamentosu'nun 17 Haziran 2020 tarihli tutumu (Resmi </w:t>
      </w:r>
      <w:proofErr w:type="spellStart"/>
      <w:r w:rsidRPr="001C701D">
        <w:rPr>
          <w:rFonts w:ascii="Times New Roman" w:eastAsia="Times New Roman" w:hAnsi="Times New Roman" w:cs="Times New Roman"/>
          <w:color w:val="333333"/>
          <w:lang w:eastAsia="tr-TR"/>
        </w:rPr>
        <w:t>Gazete'de</w:t>
      </w:r>
      <w:proofErr w:type="spellEnd"/>
      <w:r w:rsidRPr="001C701D">
        <w:rPr>
          <w:rFonts w:ascii="Times New Roman" w:eastAsia="Times New Roman" w:hAnsi="Times New Roman" w:cs="Times New Roman"/>
          <w:color w:val="333333"/>
          <w:lang w:eastAsia="tr-TR"/>
        </w:rPr>
        <w:t xml:space="preserve"> henüz yayımlanmamıştır).</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93" w:anchor="ntc3-L_2020198EN.01001301-E0003"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3</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Birleşmiş Milletler İklim Değişikliği Çerçeve Sözleşmesi kapsamında kabul edilen Paris Anlaşması'nın Avrupa Birliği adına sonuçlandırılmasına ilişkin 5 Ekim 2016 tarihli Konsey Kararı (AB) 2016/1841 ( </w:t>
      </w:r>
      <w:hyperlink r:id="rId94" w:history="1">
        <w:r w:rsidRPr="001C701D">
          <w:rPr>
            <w:rFonts w:ascii="Times New Roman" w:eastAsia="Times New Roman" w:hAnsi="Times New Roman" w:cs="Times New Roman"/>
            <w:color w:val="0E47CB"/>
            <w:lang w:eastAsia="tr-TR"/>
          </w:rPr>
          <w:t>OJ L 282, 19.10.2016,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95" w:anchor="ntc4-L_2020198EN.01001301-E0004"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4</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20 Kasım 2013 tarihli ve 1386/2013/EU sayılı 2020 Genel Birlik Çevre Eylem Programı hakkında 'Gezegenimizin sınırları içinde iyi yaşamak' ( </w:t>
      </w:r>
      <w:hyperlink r:id="rId96" w:history="1">
        <w:r w:rsidRPr="001C701D">
          <w:rPr>
            <w:rFonts w:ascii="Times New Roman" w:eastAsia="Times New Roman" w:hAnsi="Times New Roman" w:cs="Times New Roman"/>
            <w:color w:val="0E47CB"/>
            <w:lang w:eastAsia="tr-TR"/>
          </w:rPr>
          <w:t>OJ L 354, 28.12.2013, s. 171</w:t>
        </w:r>
      </w:hyperlink>
      <w:r w:rsidRPr="001C701D">
        <w:rPr>
          <w:rFonts w:ascii="Times New Roman" w:eastAsia="Times New Roman" w:hAnsi="Times New Roman" w:cs="Times New Roman"/>
          <w:color w:val="333333"/>
          <w:lang w:eastAsia="tr-TR"/>
        </w:rPr>
        <w:t> ) Kararı.</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97" w:anchor="ntc5-L_2020198EN.01001301-E0005" w:history="1">
        <w:proofErr w:type="gramStart"/>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5</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xml:space="preserve">   Avrupa Parlamentosu ve Konseyinin 25 Haziran 2015 tarihli ve (AB) 2015/1017 sayılı Avrupa Stratejik Yatırımlar Fonu, Avrupa Yatırım Danışma Merkezi ve Avrupa Yatırım Projesi </w:t>
      </w:r>
      <w:proofErr w:type="spellStart"/>
      <w:r w:rsidRPr="001C701D">
        <w:rPr>
          <w:rFonts w:ascii="Times New Roman" w:eastAsia="Times New Roman" w:hAnsi="Times New Roman" w:cs="Times New Roman"/>
          <w:color w:val="333333"/>
          <w:lang w:eastAsia="tr-TR"/>
        </w:rPr>
        <w:t>Portalı</w:t>
      </w:r>
      <w:proofErr w:type="spellEnd"/>
      <w:r w:rsidRPr="001C701D">
        <w:rPr>
          <w:rFonts w:ascii="Times New Roman" w:eastAsia="Times New Roman" w:hAnsi="Times New Roman" w:cs="Times New Roman"/>
          <w:color w:val="333333"/>
          <w:lang w:eastAsia="tr-TR"/>
        </w:rPr>
        <w:t xml:space="preserve"> hakkındaki Tüzüğü ve (AB) No 1291/2013 ve (AB) No 1316/2013 sayılı Tüzükleri değiştiren Tüzüğü – Avrupa Stratejik Yatırımlar Fonu ( </w:t>
      </w:r>
      <w:hyperlink r:id="rId98" w:history="1">
        <w:r w:rsidRPr="001C701D">
          <w:rPr>
            <w:rFonts w:ascii="Times New Roman" w:eastAsia="Times New Roman" w:hAnsi="Times New Roman" w:cs="Times New Roman"/>
            <w:color w:val="0E47CB"/>
            <w:lang w:eastAsia="tr-TR"/>
          </w:rPr>
          <w:t>OJ L 169, 1.7.2015, s. 1</w:t>
        </w:r>
      </w:hyperlink>
      <w:r w:rsidRPr="001C701D">
        <w:rPr>
          <w:rFonts w:ascii="Times New Roman" w:eastAsia="Times New Roman" w:hAnsi="Times New Roman" w:cs="Times New Roman"/>
          <w:color w:val="333333"/>
          <w:lang w:eastAsia="tr-TR"/>
        </w:rPr>
        <w:t> ).</w:t>
      </w:r>
      <w:proofErr w:type="gramEnd"/>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99" w:anchor="ntc6-L_2020198EN.01001301-E0006"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6</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Finansal hizmetler sektöründe sürdürülebilirlikle ilgili açıklamalara ilişkin 27 Kasım 2019 tarihli Avrupa Parlamentosu ve Konseyinin 2019/2088 sayılı Tüzüğü ( </w:t>
      </w:r>
      <w:hyperlink r:id="rId100" w:history="1">
        <w:r w:rsidRPr="001C701D">
          <w:rPr>
            <w:rFonts w:ascii="Times New Roman" w:eastAsia="Times New Roman" w:hAnsi="Times New Roman" w:cs="Times New Roman"/>
            <w:color w:val="0E47CB"/>
            <w:lang w:eastAsia="tr-TR"/>
          </w:rPr>
          <w:t>OJ L 317, 9.12.2019,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01" w:anchor="ntc7-L_2020198EN.01001301-E0007"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7</w:t>
        </w:r>
        <w:r w:rsidRPr="001C701D">
          <w:rPr>
            <w:rFonts w:ascii="Times New Roman" w:eastAsia="Times New Roman" w:hAnsi="Times New Roman" w:cs="Times New Roman"/>
            <w:color w:val="0E47CB"/>
            <w:lang w:eastAsia="tr-TR"/>
          </w:rPr>
          <w:t> ) </w:t>
        </w:r>
      </w:hyperlink>
      <w:r w:rsidRPr="001C701D">
        <w:rPr>
          <w:rFonts w:ascii="Times New Roman" w:eastAsia="Times New Roman" w:hAnsi="Times New Roman" w:cs="Times New Roman"/>
          <w:color w:val="333333"/>
          <w:lang w:eastAsia="tr-TR"/>
        </w:rPr>
        <w:t>   </w:t>
      </w:r>
      <w:hyperlink r:id="rId102" w:history="1">
        <w:r w:rsidRPr="001C701D">
          <w:rPr>
            <w:rFonts w:ascii="Times New Roman" w:eastAsia="Times New Roman" w:hAnsi="Times New Roman" w:cs="Times New Roman"/>
            <w:color w:val="0E47CB"/>
            <w:lang w:eastAsia="tr-TR"/>
          </w:rPr>
          <w:t>OJ C 76, 9.3.2020, s. 23</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03" w:anchor="ntc8-L_2020198EN.01001301-E0008" w:history="1">
        <w:proofErr w:type="gramStart"/>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8</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xml:space="preserve">   Avrupa Parlamentosu ve Konseyinin 23 Nisan 2009 tarihli, karbondioksitin jeolojik depolanması ve 85/337/EEC sayılı Konsey Direktifini, Avrupa Parlamentosu ve Konsey Direktifleri 2000/60/EC, </w:t>
      </w:r>
      <w:r w:rsidRPr="001C701D">
        <w:rPr>
          <w:rFonts w:ascii="Times New Roman" w:eastAsia="Times New Roman" w:hAnsi="Times New Roman" w:cs="Times New Roman"/>
          <w:color w:val="333333"/>
          <w:lang w:eastAsia="tr-TR"/>
        </w:rPr>
        <w:lastRenderedPageBreak/>
        <w:t>2001/80/EC, 2004/35/EC, 2006/12/EC, 2008/1/EC ve (EC) No 1013/2006'yı değiştiren 2009/31/EC sayılı Direktifi ( </w:t>
      </w:r>
      <w:hyperlink r:id="rId104" w:history="1">
        <w:r w:rsidRPr="001C701D">
          <w:rPr>
            <w:rFonts w:ascii="Times New Roman" w:eastAsia="Times New Roman" w:hAnsi="Times New Roman" w:cs="Times New Roman"/>
            <w:color w:val="0E47CB"/>
            <w:lang w:eastAsia="tr-TR"/>
          </w:rPr>
          <w:t>OJ L 140, 5.6.2009, s. 114</w:t>
        </w:r>
      </w:hyperlink>
      <w:r w:rsidRPr="001C701D">
        <w:rPr>
          <w:rFonts w:ascii="Times New Roman" w:eastAsia="Times New Roman" w:hAnsi="Times New Roman" w:cs="Times New Roman"/>
          <w:color w:val="333333"/>
          <w:lang w:eastAsia="tr-TR"/>
        </w:rPr>
        <w:t> ).</w:t>
      </w:r>
      <w:proofErr w:type="gramEnd"/>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05" w:anchor="ntc9-L_2020198EN.01001301-E0009" w:history="1">
        <w:proofErr w:type="gramStart"/>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9</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11 Aralık 2013 tarihli ve 1380/2013 sayılı Avrupa Parlamentosu ve Konseyi Tüzüğü, (EC) No 1954/2003 ve (EC) No 1224/2009 sayılı Konsey Tüzüklerini değiştirir ve (EC) No 2371/2002 ve (EC) No 639/2004 sayılı Konsey Tüzüklerini ve 2004/585/EC sayılı Konsey Kararını yürürlükten kaldırır ( </w:t>
      </w:r>
      <w:hyperlink r:id="rId106" w:history="1">
        <w:r w:rsidRPr="001C701D">
          <w:rPr>
            <w:rFonts w:ascii="Times New Roman" w:eastAsia="Times New Roman" w:hAnsi="Times New Roman" w:cs="Times New Roman"/>
            <w:color w:val="0E47CB"/>
            <w:lang w:eastAsia="tr-TR"/>
          </w:rPr>
          <w:t>OJ L 354, 28.12.2013, s. 22</w:t>
        </w:r>
      </w:hyperlink>
      <w:r w:rsidRPr="001C701D">
        <w:rPr>
          <w:rFonts w:ascii="Times New Roman" w:eastAsia="Times New Roman" w:hAnsi="Times New Roman" w:cs="Times New Roman"/>
          <w:color w:val="333333"/>
          <w:lang w:eastAsia="tr-TR"/>
        </w:rPr>
        <w:t> ).</w:t>
      </w:r>
      <w:proofErr w:type="gramEnd"/>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07" w:anchor="ntc10-L_2020198EN.01001301-E0010"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10</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23 Ekim 2000 tarihli 2000/60/EC sayılı Direktifi, su politikası alanında Topluluk eylemi için bir çerçeve oluşturmaktadır ( </w:t>
      </w:r>
      <w:hyperlink r:id="rId108" w:history="1">
        <w:r w:rsidRPr="001C701D">
          <w:rPr>
            <w:rFonts w:ascii="Times New Roman" w:eastAsia="Times New Roman" w:hAnsi="Times New Roman" w:cs="Times New Roman"/>
            <w:color w:val="0E47CB"/>
            <w:lang w:eastAsia="tr-TR"/>
          </w:rPr>
          <w:t>OJ L 327, 22.12.2000,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09" w:anchor="ntc11-L_2020198EN.01001301-E0011"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11</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15 Şubat 2006 tarihli, yüzme suyu kalitesinin yönetimi ve 76/160/EEC sayılı Direktifin yürürlükten kaldırılmasına ilişkin 2006/7/EC sayılı Direktifi ( </w:t>
      </w:r>
      <w:hyperlink r:id="rId110" w:history="1">
        <w:r w:rsidRPr="001C701D">
          <w:rPr>
            <w:rFonts w:ascii="Times New Roman" w:eastAsia="Times New Roman" w:hAnsi="Times New Roman" w:cs="Times New Roman"/>
            <w:color w:val="0E47CB"/>
            <w:lang w:eastAsia="tr-TR"/>
          </w:rPr>
          <w:t>OJ L 64, 4.3.2006, s. 37</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11" w:anchor="ntc12-L_2020198EN.01001301-E0012"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12</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12 Aralık 2006 tarihli, yeraltı sularının kirlenmeye ve bozulmaya karşı korunmasına ilişkin 2006/118/EC sayılı Direktifi ( </w:t>
      </w:r>
      <w:hyperlink r:id="rId112" w:history="1">
        <w:r w:rsidRPr="001C701D">
          <w:rPr>
            <w:rFonts w:ascii="Times New Roman" w:eastAsia="Times New Roman" w:hAnsi="Times New Roman" w:cs="Times New Roman"/>
            <w:color w:val="0E47CB"/>
            <w:lang w:eastAsia="tr-TR"/>
          </w:rPr>
          <w:t>OJ L 372, 27.12.2006, s. 19</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13" w:anchor="ntc13-L_2020198EN.01001301-E0013"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13</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17 Haziran 2008 tarihli 2008/56/EC sayılı Deniz Çevre Politikası alanında topluluk eylemi için bir çerçeve oluşturan Direktifi (Deniz Stratejisi Çerçeve Direktifi) ( </w:t>
      </w:r>
      <w:hyperlink r:id="rId114" w:history="1">
        <w:r w:rsidRPr="001C701D">
          <w:rPr>
            <w:rFonts w:ascii="Times New Roman" w:eastAsia="Times New Roman" w:hAnsi="Times New Roman" w:cs="Times New Roman"/>
            <w:color w:val="0E47CB"/>
            <w:lang w:eastAsia="tr-TR"/>
          </w:rPr>
          <w:t>OJ L 164, 25.6.2008, s. 19</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15" w:anchor="ntc14-L_2020198EN.01001301-E0014" w:history="1">
        <w:proofErr w:type="gramStart"/>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14</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16 Aralık 2008 tarihli, su politikası alanında çevre kalite standartlarına ilişkin 2008/105/EC sayılı Avrupa Parlamentosu ve Konsey Direktifi, 82/176/EEC, 83/513/EEC, 84/156/EEC, 84/491/EEC, 86/280/EEC sayılı Konsey Direktiflerini değiştiren ve daha sonra yürürlükten kaldıran ve Avrupa Parlamentosu ve Konsey Direktifi 2000/60/</w:t>
      </w:r>
      <w:proofErr w:type="spellStart"/>
      <w:r w:rsidRPr="001C701D">
        <w:rPr>
          <w:rFonts w:ascii="Times New Roman" w:eastAsia="Times New Roman" w:hAnsi="Times New Roman" w:cs="Times New Roman"/>
          <w:color w:val="333333"/>
          <w:lang w:eastAsia="tr-TR"/>
        </w:rPr>
        <w:t>EC'yi</w:t>
      </w:r>
      <w:proofErr w:type="spellEnd"/>
      <w:r w:rsidRPr="001C701D">
        <w:rPr>
          <w:rFonts w:ascii="Times New Roman" w:eastAsia="Times New Roman" w:hAnsi="Times New Roman" w:cs="Times New Roman"/>
          <w:color w:val="333333"/>
          <w:lang w:eastAsia="tr-TR"/>
        </w:rPr>
        <w:t xml:space="preserve"> değiştiren ( </w:t>
      </w:r>
      <w:hyperlink r:id="rId116" w:history="1">
        <w:r w:rsidRPr="001C701D">
          <w:rPr>
            <w:rFonts w:ascii="Times New Roman" w:eastAsia="Times New Roman" w:hAnsi="Times New Roman" w:cs="Times New Roman"/>
            <w:color w:val="0E47CB"/>
            <w:lang w:eastAsia="tr-TR"/>
          </w:rPr>
          <w:t>OJ L 348, 24.12.2008, s. 84</w:t>
        </w:r>
      </w:hyperlink>
      <w:r w:rsidRPr="001C701D">
        <w:rPr>
          <w:rFonts w:ascii="Times New Roman" w:eastAsia="Times New Roman" w:hAnsi="Times New Roman" w:cs="Times New Roman"/>
          <w:color w:val="333333"/>
          <w:lang w:eastAsia="tr-TR"/>
        </w:rPr>
        <w:t> ).</w:t>
      </w:r>
      <w:proofErr w:type="gramEnd"/>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17" w:anchor="ntc15-L_2020198EN.01001301-E0015"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15</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Kentsel atık su arıtımına ilişkin 21 Mayıs 1991 tarihli 91/271/EEC sayılı Konsey Direktifi ( </w:t>
      </w:r>
      <w:hyperlink r:id="rId118" w:history="1">
        <w:r w:rsidRPr="001C701D">
          <w:rPr>
            <w:rFonts w:ascii="Times New Roman" w:eastAsia="Times New Roman" w:hAnsi="Times New Roman" w:cs="Times New Roman"/>
            <w:color w:val="0E47CB"/>
            <w:lang w:eastAsia="tr-TR"/>
          </w:rPr>
          <w:t>OJ L 135, 30.5.1991, s. 40</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19" w:anchor="ntc16-L_2020198EN.01001301-E0016"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16</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Tarımsal kaynaklardan gelen nitratların neden olduğu kirliliğe karşı suların korunmasına ilişkin 12 Aralık 1991 tarihli 91/676/EEC sayılı Konsey Direktifi ( </w:t>
      </w:r>
      <w:hyperlink r:id="rId120" w:history="1">
        <w:r w:rsidRPr="001C701D">
          <w:rPr>
            <w:rFonts w:ascii="Times New Roman" w:eastAsia="Times New Roman" w:hAnsi="Times New Roman" w:cs="Times New Roman"/>
            <w:color w:val="0E47CB"/>
            <w:lang w:eastAsia="tr-TR"/>
          </w:rPr>
          <w:t>OJ L 375, 31.12.1991,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21" w:anchor="ntc17-L_2020198EN.01001301-E0017"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17</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3 Kasım 1998 tarihli, insan tüketimine yönelik suyun kalitesine ilişkin 98/83/EC sayılı Konsey Direktifi ( </w:t>
      </w:r>
      <w:hyperlink r:id="rId122" w:history="1">
        <w:r w:rsidRPr="001C701D">
          <w:rPr>
            <w:rFonts w:ascii="Times New Roman" w:eastAsia="Times New Roman" w:hAnsi="Times New Roman" w:cs="Times New Roman"/>
            <w:color w:val="0E47CB"/>
            <w:lang w:eastAsia="tr-TR"/>
          </w:rPr>
          <w:t>OJ L 330, 5.12.1998, s. 32</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23" w:anchor="ntc18-L_2020198EN.01001301-E0018"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18</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xml:space="preserve">   17 Mayıs 2017 tarihli ve 2017/848 sayılı Komisyon Kararı, deniz sularının iyi çevresel durumuna ilişkin </w:t>
      </w:r>
      <w:proofErr w:type="gramStart"/>
      <w:r w:rsidRPr="001C701D">
        <w:rPr>
          <w:rFonts w:ascii="Times New Roman" w:eastAsia="Times New Roman" w:hAnsi="Times New Roman" w:cs="Times New Roman"/>
          <w:color w:val="333333"/>
          <w:lang w:eastAsia="tr-TR"/>
        </w:rPr>
        <w:t>kriterleri</w:t>
      </w:r>
      <w:proofErr w:type="gramEnd"/>
      <w:r w:rsidRPr="001C701D">
        <w:rPr>
          <w:rFonts w:ascii="Times New Roman" w:eastAsia="Times New Roman" w:hAnsi="Times New Roman" w:cs="Times New Roman"/>
          <w:color w:val="333333"/>
          <w:lang w:eastAsia="tr-TR"/>
        </w:rPr>
        <w:t xml:space="preserve"> ve metodolojik standartları ve izleme ve değerlendirme için şartnameleri ve standartlaştırılmış yöntemleri belirler ve 2010/477/AB sayılı Kararı yürürlükten kaldırır ( </w:t>
      </w:r>
      <w:hyperlink r:id="rId124" w:history="1">
        <w:r w:rsidRPr="001C701D">
          <w:rPr>
            <w:rFonts w:ascii="Times New Roman" w:eastAsia="Times New Roman" w:hAnsi="Times New Roman" w:cs="Times New Roman"/>
            <w:color w:val="0E47CB"/>
            <w:lang w:eastAsia="tr-TR"/>
          </w:rPr>
          <w:t>OJ L 125, 18.5.2017, s. 43</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25" w:anchor="ntc19-L_2020198EN.01001301-E0019"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19</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Atıkların taşınmasına ilişkin 14 Haziran 2006 tarihli ve 1013/2006 sayılı Avrupa Parlamentosu ve Konseyi Tüzüğü ( </w:t>
      </w:r>
      <w:hyperlink r:id="rId126" w:history="1">
        <w:r w:rsidRPr="001C701D">
          <w:rPr>
            <w:rFonts w:ascii="Times New Roman" w:eastAsia="Times New Roman" w:hAnsi="Times New Roman" w:cs="Times New Roman"/>
            <w:color w:val="0E47CB"/>
            <w:lang w:eastAsia="tr-TR"/>
          </w:rPr>
          <w:t>OJ L 190, 12.7.2006,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27" w:anchor="ntc20-L_2020198EN.01001301-E0020" w:history="1">
        <w:proofErr w:type="gramStart"/>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20</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18 Aralık 2006 tarihli, Kimyasalların Kaydı, Değerlendirilmesi, İzni ve Kısıtlanması (REACH) hakkında Avrupa Parlamentosu ve Konseyinin Tüzüğü, Avrupa Kimyasallar Ajansı'nı kurarak, 1999/45/EC Direktifini değiştirerek ve 793/93 sayılı Konsey Tüzüğü ile 1488/94 sayılı Komisyon Tüzüğünü ve 76/769/EEC sayılı Konsey Direktifi ile 91/155/EEC, 93/67/EEC, 93/105/EC ve 2000/21/EC sayılı Komisyon Direktiflerini yürürlükten kaldırarak (OJ </w:t>
      </w:r>
      <w:hyperlink r:id="rId128" w:history="1">
        <w:r w:rsidRPr="001C701D">
          <w:rPr>
            <w:rFonts w:ascii="Times New Roman" w:eastAsia="Times New Roman" w:hAnsi="Times New Roman" w:cs="Times New Roman"/>
            <w:color w:val="0E47CB"/>
            <w:lang w:eastAsia="tr-TR"/>
          </w:rPr>
          <w:t>L 396, 30.12.2006, s. 1</w:t>
        </w:r>
      </w:hyperlink>
      <w:r w:rsidRPr="001C701D">
        <w:rPr>
          <w:rFonts w:ascii="Times New Roman" w:eastAsia="Times New Roman" w:hAnsi="Times New Roman" w:cs="Times New Roman"/>
          <w:color w:val="333333"/>
          <w:lang w:eastAsia="tr-TR"/>
        </w:rPr>
        <w:t> ).</w:t>
      </w:r>
      <w:proofErr w:type="gramEnd"/>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29" w:anchor="ntc21-L_2020198EN.01001301-E0021"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21</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20 Haziran 2019 tarihli ve 2019/1021 sayılı Kalıcı Organik Kirleticiler Yönetmeliği ( </w:t>
      </w:r>
      <w:hyperlink r:id="rId130" w:history="1">
        <w:r w:rsidRPr="001C701D">
          <w:rPr>
            <w:rFonts w:ascii="Times New Roman" w:eastAsia="Times New Roman" w:hAnsi="Times New Roman" w:cs="Times New Roman"/>
            <w:color w:val="0E47CB"/>
            <w:lang w:eastAsia="tr-TR"/>
          </w:rPr>
          <w:t>OJ L 169, 25.6.2019, s. 45</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31" w:anchor="ntc22-L_2020198EN.01001301-E0022"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22</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20 Aralık 1994 tarihli Avrupa Parlamentosu ve Konsey Direktifi 94/62/EC, ambalaj ve ambalaj atıkları hakkında ( </w:t>
      </w:r>
      <w:hyperlink r:id="rId132" w:history="1">
        <w:r w:rsidRPr="001C701D">
          <w:rPr>
            <w:rFonts w:ascii="Times New Roman" w:eastAsia="Times New Roman" w:hAnsi="Times New Roman" w:cs="Times New Roman"/>
            <w:color w:val="0E47CB"/>
            <w:lang w:eastAsia="tr-TR"/>
          </w:rPr>
          <w:t>OJ L 365, 31.12.1994, s. 10</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33" w:anchor="ntc23-L_2020198EN.01001301-E0023"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23</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18 Eylül 2000 tarihli Avrupa Parlamentosu ve Konseyinin 2000/53/EC sayılı, ömrünü tamamlamış araçlara ilişkin Direktifi ( </w:t>
      </w:r>
      <w:hyperlink r:id="rId134" w:history="1">
        <w:r w:rsidRPr="001C701D">
          <w:rPr>
            <w:rFonts w:ascii="Times New Roman" w:eastAsia="Times New Roman" w:hAnsi="Times New Roman" w:cs="Times New Roman"/>
            <w:color w:val="0E47CB"/>
            <w:lang w:eastAsia="tr-TR"/>
          </w:rPr>
          <w:t>OJ L 269, 21.10.2000, s. 34</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35" w:anchor="ntc24-L_2020198EN.01001301-E0024"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24</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6 Eylül 2006 tarihli, piller ve akümülatörler ile atık piller ve akümülatörler hakkında ve 91/157/EEC sayılı Direktifi yürürlükten kaldıran Avrupa Parlamentosu ve Konseyinin 2006/66/EC sayılı Direktifi ( </w:t>
      </w:r>
      <w:hyperlink r:id="rId136" w:history="1">
        <w:r w:rsidRPr="001C701D">
          <w:rPr>
            <w:rFonts w:ascii="Times New Roman" w:eastAsia="Times New Roman" w:hAnsi="Times New Roman" w:cs="Times New Roman"/>
            <w:color w:val="0E47CB"/>
            <w:lang w:eastAsia="tr-TR"/>
          </w:rPr>
          <w:t>OJ L 266, 26.9.2006,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37" w:anchor="ntc25-L_2020198EN.01001301-E0025"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25</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19 Kasım 2008 tarihli, atıklar ve bazı Direktiflerin yürürlükten kaldırılmasına ilişkin 2008/98/EC sayılı Direktifi ( </w:t>
      </w:r>
      <w:hyperlink r:id="rId138" w:history="1">
        <w:r w:rsidRPr="001C701D">
          <w:rPr>
            <w:rFonts w:ascii="Times New Roman" w:eastAsia="Times New Roman" w:hAnsi="Times New Roman" w:cs="Times New Roman"/>
            <w:color w:val="0E47CB"/>
            <w:lang w:eastAsia="tr-TR"/>
          </w:rPr>
          <w:t>OJ L 312, 22.11.2008, s. 3</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39" w:anchor="ntc26-L_2020198EN.01001301-E0026"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26</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24 Kasım 2010 tarihli, endüstriyel emisyonlara (</w:t>
      </w:r>
      <w:proofErr w:type="gramStart"/>
      <w:r w:rsidRPr="001C701D">
        <w:rPr>
          <w:rFonts w:ascii="Times New Roman" w:eastAsia="Times New Roman" w:hAnsi="Times New Roman" w:cs="Times New Roman"/>
          <w:color w:val="333333"/>
          <w:lang w:eastAsia="tr-TR"/>
        </w:rPr>
        <w:t>entegre</w:t>
      </w:r>
      <w:proofErr w:type="gramEnd"/>
      <w:r w:rsidRPr="001C701D">
        <w:rPr>
          <w:rFonts w:ascii="Times New Roman" w:eastAsia="Times New Roman" w:hAnsi="Times New Roman" w:cs="Times New Roman"/>
          <w:color w:val="333333"/>
          <w:lang w:eastAsia="tr-TR"/>
        </w:rPr>
        <w:t xml:space="preserve"> kirlilik önleme ve kontrolü) ilişkin 2010/75/EU Direktifi ( </w:t>
      </w:r>
      <w:hyperlink r:id="rId140" w:history="1">
        <w:r w:rsidRPr="001C701D">
          <w:rPr>
            <w:rFonts w:ascii="Times New Roman" w:eastAsia="Times New Roman" w:hAnsi="Times New Roman" w:cs="Times New Roman"/>
            <w:color w:val="0E47CB"/>
            <w:lang w:eastAsia="tr-TR"/>
          </w:rPr>
          <w:t>OJ L 334, 17.12.2010, s. 17</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41" w:anchor="ntc27-L_2020198EN.01001301-E0027"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27</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xml:space="preserve">   Avrupa Parlamentosu ve Konseyinin 8 Haziran 2011 tarihli, elektrikli ve elektronik </w:t>
      </w:r>
      <w:proofErr w:type="gramStart"/>
      <w:r w:rsidRPr="001C701D">
        <w:rPr>
          <w:rFonts w:ascii="Times New Roman" w:eastAsia="Times New Roman" w:hAnsi="Times New Roman" w:cs="Times New Roman"/>
          <w:color w:val="333333"/>
          <w:lang w:eastAsia="tr-TR"/>
        </w:rPr>
        <w:t>ekipmanlarda</w:t>
      </w:r>
      <w:proofErr w:type="gramEnd"/>
      <w:r w:rsidRPr="001C701D">
        <w:rPr>
          <w:rFonts w:ascii="Times New Roman" w:eastAsia="Times New Roman" w:hAnsi="Times New Roman" w:cs="Times New Roman"/>
          <w:color w:val="333333"/>
          <w:lang w:eastAsia="tr-TR"/>
        </w:rPr>
        <w:t xml:space="preserve"> belirli tehlikeli maddelerin kullanımının kısıtlanmasına ilişkin 2011/65/EU sayılı Direktifi ( </w:t>
      </w:r>
      <w:hyperlink r:id="rId142" w:history="1">
        <w:r w:rsidRPr="001C701D">
          <w:rPr>
            <w:rFonts w:ascii="Times New Roman" w:eastAsia="Times New Roman" w:hAnsi="Times New Roman" w:cs="Times New Roman"/>
            <w:color w:val="0E47CB"/>
            <w:lang w:eastAsia="tr-TR"/>
          </w:rPr>
          <w:t>OJ L 174, 1.7.2011, s. 88</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43" w:anchor="ntc28-L_2020198EN.01001301-E0028"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28</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4 Temmuz 2012 tarihli 2012/19/EU sayılı Atık Elektrikli ve Elektronik Ekipman (AEEE) Direktifi ( </w:t>
      </w:r>
      <w:hyperlink r:id="rId144" w:history="1">
        <w:r w:rsidRPr="001C701D">
          <w:rPr>
            <w:rFonts w:ascii="Times New Roman" w:eastAsia="Times New Roman" w:hAnsi="Times New Roman" w:cs="Times New Roman"/>
            <w:color w:val="0E47CB"/>
            <w:lang w:eastAsia="tr-TR"/>
          </w:rPr>
          <w:t>OJ L 197, 24.7.2012, s. 38</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45" w:anchor="ntc29-L_2020198EN.01001301-E0029"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29</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17 Nisan 2019 tarihli, gemilerden atıkların teslimi için liman kabul tesislerine ilişkin 2010/65/AB Direktifini değiştiren ve 2000/59/EC Direktifini yürürlükten kaldıran 2019/883 sayılı Direktifi (AB </w:t>
      </w:r>
      <w:hyperlink r:id="rId146" w:history="1">
        <w:r w:rsidRPr="001C701D">
          <w:rPr>
            <w:rFonts w:ascii="Times New Roman" w:eastAsia="Times New Roman" w:hAnsi="Times New Roman" w:cs="Times New Roman"/>
            <w:color w:val="0E47CB"/>
            <w:lang w:eastAsia="tr-TR"/>
          </w:rPr>
          <w:t>Resmi Gazetesi L 151, 7.6.2019, s. 116</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47" w:anchor="ntc30-L_2020198EN.01001301-E0030"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30</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5 Haziran 2019 tarihli 2019/904 sayılı Direktifi (AB </w:t>
      </w:r>
      <w:hyperlink r:id="rId148" w:history="1">
        <w:r w:rsidRPr="001C701D">
          <w:rPr>
            <w:rFonts w:ascii="Times New Roman" w:eastAsia="Times New Roman" w:hAnsi="Times New Roman" w:cs="Times New Roman"/>
            <w:color w:val="0E47CB"/>
            <w:lang w:eastAsia="tr-TR"/>
          </w:rPr>
          <w:t>Resmi Gazetesi L 155, 12.6.2019,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49" w:anchor="ntc31-L_2020198EN.01001301-E0031"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31</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Atıkların depolanmasına ilişkin 26 Nisan 1999 tarihli 1999/31/EC sayılı Konsey Direktifi ( </w:t>
      </w:r>
      <w:hyperlink r:id="rId150" w:history="1">
        <w:r w:rsidRPr="001C701D">
          <w:rPr>
            <w:rFonts w:ascii="Times New Roman" w:eastAsia="Times New Roman" w:hAnsi="Times New Roman" w:cs="Times New Roman"/>
            <w:color w:val="0E47CB"/>
            <w:lang w:eastAsia="tr-TR"/>
          </w:rPr>
          <w:t>OJ L 182, 16.7.1999,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51" w:anchor="ntc32-L_2020198EN.01001301-E0032"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32</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xml:space="preserve">   Avrupa Parlamentosu ve Konseyinin Atıklar Hakkındaki 2008/98/EC sayılı Direktifinin Ek </w:t>
      </w:r>
      <w:proofErr w:type="spellStart"/>
      <w:r w:rsidRPr="001C701D">
        <w:rPr>
          <w:rFonts w:ascii="Times New Roman" w:eastAsia="Times New Roman" w:hAnsi="Times New Roman" w:cs="Times New Roman"/>
          <w:color w:val="333333"/>
          <w:lang w:eastAsia="tr-TR"/>
        </w:rPr>
        <w:t>III'ünü</w:t>
      </w:r>
      <w:proofErr w:type="spellEnd"/>
      <w:r w:rsidRPr="001C701D">
        <w:rPr>
          <w:rFonts w:ascii="Times New Roman" w:eastAsia="Times New Roman" w:hAnsi="Times New Roman" w:cs="Times New Roman"/>
          <w:color w:val="333333"/>
          <w:lang w:eastAsia="tr-TR"/>
        </w:rPr>
        <w:t xml:space="preserve"> değiştiren ve bazı Direktifleri yürürlükten kaldıran 18 Aralık 2014 tarihli ve 1357/2014 sayılı Komisyon Tüzüğü (AB) ( </w:t>
      </w:r>
      <w:hyperlink r:id="rId152" w:history="1">
        <w:r w:rsidRPr="001C701D">
          <w:rPr>
            <w:rFonts w:ascii="Times New Roman" w:eastAsia="Times New Roman" w:hAnsi="Times New Roman" w:cs="Times New Roman"/>
            <w:color w:val="0E47CB"/>
            <w:lang w:eastAsia="tr-TR"/>
          </w:rPr>
          <w:t>OJ L 365, 19.12.2014, s. 89</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53" w:anchor="ntc33-L_2020198EN.01001301-E0033" w:history="1">
        <w:proofErr w:type="gramStart"/>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33</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xml:space="preserve">   Atıklar hakkındaki 75/442/EEC sayılı Konsey </w:t>
      </w:r>
      <w:proofErr w:type="spellStart"/>
      <w:r w:rsidRPr="001C701D">
        <w:rPr>
          <w:rFonts w:ascii="Times New Roman" w:eastAsia="Times New Roman" w:hAnsi="Times New Roman" w:cs="Times New Roman"/>
          <w:color w:val="333333"/>
          <w:lang w:eastAsia="tr-TR"/>
        </w:rPr>
        <w:t>Direktifi'nin</w:t>
      </w:r>
      <w:proofErr w:type="spellEnd"/>
      <w:r w:rsidRPr="001C701D">
        <w:rPr>
          <w:rFonts w:ascii="Times New Roman" w:eastAsia="Times New Roman" w:hAnsi="Times New Roman" w:cs="Times New Roman"/>
          <w:color w:val="333333"/>
          <w:lang w:eastAsia="tr-TR"/>
        </w:rPr>
        <w:t xml:space="preserve"> 1(a) maddesi uyarınca atıkların bir listesini oluşturan 94/3/EC sayılı Kararı ve Tehlikeli Atıklar hakkındaki 91/689/EEC sayılı Konsey </w:t>
      </w:r>
      <w:proofErr w:type="spellStart"/>
      <w:r w:rsidRPr="001C701D">
        <w:rPr>
          <w:rFonts w:ascii="Times New Roman" w:eastAsia="Times New Roman" w:hAnsi="Times New Roman" w:cs="Times New Roman"/>
          <w:color w:val="333333"/>
          <w:lang w:eastAsia="tr-TR"/>
        </w:rPr>
        <w:t>Direktifi'nin</w:t>
      </w:r>
      <w:proofErr w:type="spellEnd"/>
      <w:r w:rsidRPr="001C701D">
        <w:rPr>
          <w:rFonts w:ascii="Times New Roman" w:eastAsia="Times New Roman" w:hAnsi="Times New Roman" w:cs="Times New Roman"/>
          <w:color w:val="333333"/>
          <w:lang w:eastAsia="tr-TR"/>
        </w:rPr>
        <w:t xml:space="preserve"> 1(4) maddesi uyarınca tehlikeli atıkların bir listesini oluşturan 94/904/EC sayılı Konsey Kararı'nı değiştiren 3 Mayıs 2000 tarihli 2000/532/EC sayılı Komisyon Kararı ( </w:t>
      </w:r>
      <w:hyperlink r:id="rId154" w:history="1">
        <w:r w:rsidRPr="001C701D">
          <w:rPr>
            <w:rFonts w:ascii="Times New Roman" w:eastAsia="Times New Roman" w:hAnsi="Times New Roman" w:cs="Times New Roman"/>
            <w:color w:val="0E47CB"/>
            <w:lang w:eastAsia="tr-TR"/>
          </w:rPr>
          <w:t>Resmi Gazete L 226, 6.9.2000, s. 3</w:t>
        </w:r>
      </w:hyperlink>
      <w:r w:rsidRPr="001C701D">
        <w:rPr>
          <w:rFonts w:ascii="Times New Roman" w:eastAsia="Times New Roman" w:hAnsi="Times New Roman" w:cs="Times New Roman"/>
          <w:color w:val="333333"/>
          <w:lang w:eastAsia="tr-TR"/>
        </w:rPr>
        <w:t> ).</w:t>
      </w:r>
      <w:proofErr w:type="gramEnd"/>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55" w:anchor="ntc34-L_2020198EN.01001301-E0034"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34</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18 Aralık 2014 tarihli 2014/955/EU sayılı Komisyon Kararı, Avrupa Parlamentosu ve Konseyinin 2008/98/EC sayılı Direktifi uyarınca atık listesi hakkındaki 2000/532/EC sayılı Kararı değiştiriyor ( </w:t>
      </w:r>
      <w:hyperlink r:id="rId156" w:history="1">
        <w:r w:rsidRPr="001C701D">
          <w:rPr>
            <w:rFonts w:ascii="Times New Roman" w:eastAsia="Times New Roman" w:hAnsi="Times New Roman" w:cs="Times New Roman"/>
            <w:color w:val="0E47CB"/>
            <w:lang w:eastAsia="tr-TR"/>
          </w:rPr>
          <w:t>OJ L 370, 30.12.2014, s. 44</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57" w:anchor="ntc35-L_2020198EN.01001301-E0035"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35</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Çevresel zararların önlenmesi ve giderilmesine ilişkin çevresel sorumluluğa ilişkin 21 Nisan 2004 tarihli ve 2004/35/EC sayılı Avrupa Parlamentosu ve Konseyi Direktifi ( </w:t>
      </w:r>
      <w:hyperlink r:id="rId158" w:history="1">
        <w:r w:rsidRPr="001C701D">
          <w:rPr>
            <w:rFonts w:ascii="Times New Roman" w:eastAsia="Times New Roman" w:hAnsi="Times New Roman" w:cs="Times New Roman"/>
            <w:color w:val="0E47CB"/>
            <w:lang w:eastAsia="tr-TR"/>
          </w:rPr>
          <w:t>OJ L 143, 30.4.2004, s. 56</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59" w:anchor="ntc36-L_2020198EN.01001301-E0036"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36</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xml:space="preserve">   Ortam havasındaki arsenik, kadmiyum, cıva, nikel ve </w:t>
      </w:r>
      <w:proofErr w:type="spellStart"/>
      <w:r w:rsidRPr="001C701D">
        <w:rPr>
          <w:rFonts w:ascii="Times New Roman" w:eastAsia="Times New Roman" w:hAnsi="Times New Roman" w:cs="Times New Roman"/>
          <w:color w:val="333333"/>
          <w:lang w:eastAsia="tr-TR"/>
        </w:rPr>
        <w:t>polisiklik</w:t>
      </w:r>
      <w:proofErr w:type="spellEnd"/>
      <w:r w:rsidRPr="001C701D">
        <w:rPr>
          <w:rFonts w:ascii="Times New Roman" w:eastAsia="Times New Roman" w:hAnsi="Times New Roman" w:cs="Times New Roman"/>
          <w:color w:val="333333"/>
          <w:lang w:eastAsia="tr-TR"/>
        </w:rPr>
        <w:t xml:space="preserve"> </w:t>
      </w:r>
      <w:proofErr w:type="gramStart"/>
      <w:r w:rsidRPr="001C701D">
        <w:rPr>
          <w:rFonts w:ascii="Times New Roman" w:eastAsia="Times New Roman" w:hAnsi="Times New Roman" w:cs="Times New Roman"/>
          <w:color w:val="333333"/>
          <w:lang w:eastAsia="tr-TR"/>
        </w:rPr>
        <w:t>aromatik</w:t>
      </w:r>
      <w:proofErr w:type="gramEnd"/>
      <w:r w:rsidRPr="001C701D">
        <w:rPr>
          <w:rFonts w:ascii="Times New Roman" w:eastAsia="Times New Roman" w:hAnsi="Times New Roman" w:cs="Times New Roman"/>
          <w:color w:val="333333"/>
          <w:lang w:eastAsia="tr-TR"/>
        </w:rPr>
        <w:t xml:space="preserve"> hidrokarbonlara ilişkin 15 Aralık 2004 tarihli Avrupa Parlamentosu ve Konseyi Direktifi 2004/107/EC ( </w:t>
      </w:r>
      <w:hyperlink r:id="rId160" w:history="1">
        <w:r w:rsidRPr="001C701D">
          <w:rPr>
            <w:rFonts w:ascii="Times New Roman" w:eastAsia="Times New Roman" w:hAnsi="Times New Roman" w:cs="Times New Roman"/>
            <w:color w:val="0E47CB"/>
            <w:lang w:eastAsia="tr-TR"/>
          </w:rPr>
          <w:t>OJ L 23, 26.1.2005, s. 3</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61" w:anchor="ntc37-L_2020198EN.01001301-E0037"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37</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21 Mayıs 2008 tarihli, Avrupa için ortam hava kalitesi ve daha temiz hava hakkındaki 2008/50/EC Direktifi ( </w:t>
      </w:r>
      <w:hyperlink r:id="rId162" w:history="1">
        <w:r w:rsidRPr="001C701D">
          <w:rPr>
            <w:rFonts w:ascii="Times New Roman" w:eastAsia="Times New Roman" w:hAnsi="Times New Roman" w:cs="Times New Roman"/>
            <w:color w:val="0E47CB"/>
            <w:lang w:eastAsia="tr-TR"/>
          </w:rPr>
          <w:t>OJ L 152, 11.6.2008,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63" w:anchor="ntc38-L_2020198EN.01001301-E0038"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38</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11 Mayıs 2016 tarihli 2016/802 sayılı Direktifi, belirli sıvı yakıtların kükürt içeriğinin azaltılmasına ilişkindir ( </w:t>
      </w:r>
      <w:hyperlink r:id="rId164" w:history="1">
        <w:r w:rsidRPr="001C701D">
          <w:rPr>
            <w:rFonts w:ascii="Times New Roman" w:eastAsia="Times New Roman" w:hAnsi="Times New Roman" w:cs="Times New Roman"/>
            <w:color w:val="0E47CB"/>
            <w:lang w:eastAsia="tr-TR"/>
          </w:rPr>
          <w:t>OJ L 132, 21.5.2016, s. 58</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65" w:anchor="ntc39-L_2020198EN.01001301-E0039"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39</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14 Aralık 2016 tarihli, 2003/35/EC sayılı Direktifi değiştiren ve 2001/81/EC sayılı Direktifi yürürlükten kaldıran 2016/2284 sayılı Direktifi ( </w:t>
      </w:r>
      <w:hyperlink r:id="rId166" w:history="1">
        <w:r w:rsidRPr="001C701D">
          <w:rPr>
            <w:rFonts w:ascii="Times New Roman" w:eastAsia="Times New Roman" w:hAnsi="Times New Roman" w:cs="Times New Roman"/>
            <w:color w:val="0E47CB"/>
            <w:lang w:eastAsia="tr-TR"/>
          </w:rPr>
          <w:t>AB Resmi Gazetesi L 344, 17.12.2016,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67" w:anchor="ntc40-L_2020198EN.01001301-E0040"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40</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20 Ekim 2010 tarihli ve 995/2010 sayılı, kereste ve kereste ürünlerini piyasaya arz eden işletmecilerin yükümlülüklerini belirleyen Tüzüğü ( </w:t>
      </w:r>
      <w:hyperlink r:id="rId168" w:history="1">
        <w:r w:rsidRPr="001C701D">
          <w:rPr>
            <w:rFonts w:ascii="Times New Roman" w:eastAsia="Times New Roman" w:hAnsi="Times New Roman" w:cs="Times New Roman"/>
            <w:color w:val="0E47CB"/>
            <w:lang w:eastAsia="tr-TR"/>
          </w:rPr>
          <w:t>OJ L 295, 12.11.2010, s. 23</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69" w:anchor="ntc41-L_2020198EN.01001301-E0041"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41</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xml:space="preserve">   Avrupa Parlamentosu ve Konseyinin 16 Nisan 2014 tarihli ve 511/2014 sayılı Tüzüğü, Genetik Kaynaklara Erişim ve Birlik İçinde Bunların Kullanımından Doğan Faydaların Adil ve Eşit Paylaşımı Hakkındaki </w:t>
      </w:r>
      <w:proofErr w:type="spellStart"/>
      <w:r w:rsidRPr="001C701D">
        <w:rPr>
          <w:rFonts w:ascii="Times New Roman" w:eastAsia="Times New Roman" w:hAnsi="Times New Roman" w:cs="Times New Roman"/>
          <w:color w:val="333333"/>
          <w:lang w:eastAsia="tr-TR"/>
        </w:rPr>
        <w:t>Nagoya</w:t>
      </w:r>
      <w:proofErr w:type="spellEnd"/>
      <w:r w:rsidRPr="001C701D">
        <w:rPr>
          <w:rFonts w:ascii="Times New Roman" w:eastAsia="Times New Roman" w:hAnsi="Times New Roman" w:cs="Times New Roman"/>
          <w:color w:val="333333"/>
          <w:lang w:eastAsia="tr-TR"/>
        </w:rPr>
        <w:t xml:space="preserve"> Protokolü'ne uyum önlemleri hakkında ( </w:t>
      </w:r>
      <w:hyperlink r:id="rId170" w:history="1">
        <w:r w:rsidRPr="001C701D">
          <w:rPr>
            <w:rFonts w:ascii="Times New Roman" w:eastAsia="Times New Roman" w:hAnsi="Times New Roman" w:cs="Times New Roman"/>
            <w:color w:val="0E47CB"/>
            <w:lang w:eastAsia="tr-TR"/>
          </w:rPr>
          <w:t>OJ L 150, 20.5.2014, s. 59</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71" w:anchor="ntc42-L_2020198EN.01001301-E0042"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42</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22 Ekim 2014 tarihli ve 1143/2014 sayılı İstilacı Yabancı Türlerin Girişinin ve Yayılmasının Önlenmesi ve Yönetimi Hakkındaki Tüzüğü ( </w:t>
      </w:r>
      <w:hyperlink r:id="rId172" w:history="1">
        <w:r w:rsidRPr="001C701D">
          <w:rPr>
            <w:rFonts w:ascii="Times New Roman" w:eastAsia="Times New Roman" w:hAnsi="Times New Roman" w:cs="Times New Roman"/>
            <w:color w:val="0E47CB"/>
            <w:lang w:eastAsia="tr-TR"/>
          </w:rPr>
          <w:t>OJ L 317, 4.11.2014, s. 35</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73" w:anchor="ntc43-L_2020198EN.01001301-E0043"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43</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Yabani kuşların korunmasına ilişkin 30 Kasım 2009 tarihli Avrupa Parlamentosu ve Konseyi Direktifi 2009/147/EC ( </w:t>
      </w:r>
      <w:hyperlink r:id="rId174" w:history="1">
        <w:r w:rsidRPr="001C701D">
          <w:rPr>
            <w:rFonts w:ascii="Times New Roman" w:eastAsia="Times New Roman" w:hAnsi="Times New Roman" w:cs="Times New Roman"/>
            <w:color w:val="0E47CB"/>
            <w:lang w:eastAsia="tr-TR"/>
          </w:rPr>
          <w:t>OJ L 20, 26.1.2010, s. 7</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75" w:anchor="ntc44-L_2020198EN.01001301-E0044"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44</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Yabani hayvan ve bitki türlerinin ticaretini düzenleyerek korunmasına ilişkin 9 Aralık 1996 tarihli Konsey Tüzüğü (EC) No 338/97 ( </w:t>
      </w:r>
      <w:hyperlink r:id="rId176" w:history="1">
        <w:r w:rsidRPr="001C701D">
          <w:rPr>
            <w:rFonts w:ascii="Times New Roman" w:eastAsia="Times New Roman" w:hAnsi="Times New Roman" w:cs="Times New Roman"/>
            <w:color w:val="0E47CB"/>
            <w:lang w:eastAsia="tr-TR"/>
          </w:rPr>
          <w:t>OJ L 61, 3.3.1997,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77" w:anchor="ntc45-L_2020198EN.01001301-E0045"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45</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Doğal yaşam alanlarının ve yabani hayvan ve bitki örtüsünün korunmasına ilişkin 21 Mayıs 1992 tarihli 92/43/EEC sayılı Konsey Direktifi ( </w:t>
      </w:r>
      <w:hyperlink r:id="rId178" w:history="1">
        <w:r w:rsidRPr="001C701D">
          <w:rPr>
            <w:rFonts w:ascii="Times New Roman" w:eastAsia="Times New Roman" w:hAnsi="Times New Roman" w:cs="Times New Roman"/>
            <w:color w:val="0E47CB"/>
            <w:lang w:eastAsia="tr-TR"/>
          </w:rPr>
          <w:t>OJ L 206, 22.7.1992, s. 7</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79" w:anchor="ntc46-L_2020198EN.01001301-E0046"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46</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xml:space="preserve">   Avrupa Parlamentosu ve Konseyinin 30 Mayıs 2018 tarihli ve 2018/841 sayılı Tüzüğü, sera gazı emisyonlarının ve arazi kullanımından kaynaklanan </w:t>
      </w:r>
      <w:proofErr w:type="spellStart"/>
      <w:r w:rsidRPr="001C701D">
        <w:rPr>
          <w:rFonts w:ascii="Times New Roman" w:eastAsia="Times New Roman" w:hAnsi="Times New Roman" w:cs="Times New Roman"/>
          <w:color w:val="333333"/>
          <w:lang w:eastAsia="tr-TR"/>
        </w:rPr>
        <w:t>giderimlerin</w:t>
      </w:r>
      <w:proofErr w:type="spellEnd"/>
      <w:r w:rsidRPr="001C701D">
        <w:rPr>
          <w:rFonts w:ascii="Times New Roman" w:eastAsia="Times New Roman" w:hAnsi="Times New Roman" w:cs="Times New Roman"/>
          <w:color w:val="333333"/>
          <w:lang w:eastAsia="tr-TR"/>
        </w:rPr>
        <w:t xml:space="preserve">, arazi kullanımındaki değişikliğin ve ormancılığın 2030 iklim ve enerji çerçevesine </w:t>
      </w:r>
      <w:proofErr w:type="gramStart"/>
      <w:r w:rsidRPr="001C701D">
        <w:rPr>
          <w:rFonts w:ascii="Times New Roman" w:eastAsia="Times New Roman" w:hAnsi="Times New Roman" w:cs="Times New Roman"/>
          <w:color w:val="333333"/>
          <w:lang w:eastAsia="tr-TR"/>
        </w:rPr>
        <w:t>dahil</w:t>
      </w:r>
      <w:proofErr w:type="gramEnd"/>
      <w:r w:rsidRPr="001C701D">
        <w:rPr>
          <w:rFonts w:ascii="Times New Roman" w:eastAsia="Times New Roman" w:hAnsi="Times New Roman" w:cs="Times New Roman"/>
          <w:color w:val="333333"/>
          <w:lang w:eastAsia="tr-TR"/>
        </w:rPr>
        <w:t xml:space="preserve"> edilmesi ve 525/2013 sayılı Tüzüğün ve 529/2013/AB sayılı Kararın değiştirilmesi hakkındadır ( </w:t>
      </w:r>
      <w:hyperlink r:id="rId180" w:history="1">
        <w:r w:rsidRPr="001C701D">
          <w:rPr>
            <w:rFonts w:ascii="Times New Roman" w:eastAsia="Times New Roman" w:hAnsi="Times New Roman" w:cs="Times New Roman"/>
            <w:color w:val="0E47CB"/>
            <w:lang w:eastAsia="tr-TR"/>
          </w:rPr>
          <w:t>OJ L 156, 19.6.2018,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81" w:anchor="ntc47-L_2020198EN.01001301-E0047"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47</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11 Aralık 2018 tarihli, yenilenebilir kaynaklardan enerji kullanımının teşviki hakkındaki 2018/2001 sayılı Direktifi (AB </w:t>
      </w:r>
      <w:hyperlink r:id="rId182" w:history="1">
        <w:r w:rsidRPr="001C701D">
          <w:rPr>
            <w:rFonts w:ascii="Times New Roman" w:eastAsia="Times New Roman" w:hAnsi="Times New Roman" w:cs="Times New Roman"/>
            <w:color w:val="0E47CB"/>
            <w:lang w:eastAsia="tr-TR"/>
          </w:rPr>
          <w:t>Resmi Gazetesi L 328, 21.12.2018, s. 82</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83" w:anchor="ntc48-L_2020198EN.01001301-E0048"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48</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4 Temmuz 2017 tarihli, enerji etiketlemesi için bir çerçeve belirleyen ve 2010/30/AB Direktifini yürürlükten kaldıran 2017/1369 sayılı Tüzüğü ( </w:t>
      </w:r>
      <w:hyperlink r:id="rId184" w:history="1">
        <w:r w:rsidRPr="001C701D">
          <w:rPr>
            <w:rFonts w:ascii="Times New Roman" w:eastAsia="Times New Roman" w:hAnsi="Times New Roman" w:cs="Times New Roman"/>
            <w:color w:val="0E47CB"/>
            <w:lang w:eastAsia="tr-TR"/>
          </w:rPr>
          <w:t>OJ L 198, 28.7.2017,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85" w:anchor="ntc49-L_2020198EN.01001301-E0049"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49</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25 Ekim 2012 tarihli, 2009/125/EC ve 2010/30/EU Direktiflerini değiştiren ve 2004/8/EC ve 2006/32/EC Direktiflerini yürürlükten kaldıran enerji verimliliğine ilişkin 2012/27/EU Direktifi ( </w:t>
      </w:r>
      <w:hyperlink r:id="rId186" w:history="1">
        <w:r w:rsidRPr="001C701D">
          <w:rPr>
            <w:rFonts w:ascii="Times New Roman" w:eastAsia="Times New Roman" w:hAnsi="Times New Roman" w:cs="Times New Roman"/>
            <w:color w:val="0E47CB"/>
            <w:lang w:eastAsia="tr-TR"/>
          </w:rPr>
          <w:t>OJ L 315, 14.11.2012,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87" w:anchor="ntc50-L_2020198EN.01001301-E0050"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50</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30 Mayıs 2018 tarihli, Binaların Enerji Performansı Hakkında 2010/31/AB Direktifi ve Enerji Verimliliği Hakkında 2012/27/AB Direktifini Değiştiren Direktifi (AB) 2018/844 ( </w:t>
      </w:r>
      <w:hyperlink r:id="rId188" w:history="1">
        <w:r w:rsidRPr="001C701D">
          <w:rPr>
            <w:rFonts w:ascii="Times New Roman" w:eastAsia="Times New Roman" w:hAnsi="Times New Roman" w:cs="Times New Roman"/>
            <w:color w:val="0E47CB"/>
            <w:lang w:eastAsia="tr-TR"/>
          </w:rPr>
          <w:t>OJ L 156, 19.6.2018, s. 75</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89" w:anchor="ntc51-L_2020198EN.01001301-E0051"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51</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Enerjiyle ilgili ürünler için eko-tasarım gerekliliklerinin belirlenmesine yönelik bir çerçeve oluşturan 21 Ekim 2009 tarihli Avrupa Parlamentosu ve Konseyi Direktifi 2009/125/EC ( </w:t>
      </w:r>
      <w:hyperlink r:id="rId190" w:history="1">
        <w:r w:rsidRPr="001C701D">
          <w:rPr>
            <w:rFonts w:ascii="Times New Roman" w:eastAsia="Times New Roman" w:hAnsi="Times New Roman" w:cs="Times New Roman"/>
            <w:color w:val="0E47CB"/>
            <w:lang w:eastAsia="tr-TR"/>
          </w:rPr>
          <w:t>OJ L 285, 31.10.2009, s. 10</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91" w:anchor="ntc52-L_2020198EN.01001301-E0052"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52</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24 Kasım 2010 tarihli, Avrupa Bankacılık Otoritesi'ni kuran, 716/2009/EC sayılı Kararı değiştiren ve 2009/78/EC sayılı Komisyon Kararını yürürlükten kaldıran 1093/2010 sayılı Tüzüğü (AB Resmi </w:t>
      </w:r>
      <w:hyperlink r:id="rId192" w:history="1">
        <w:r w:rsidRPr="001C701D">
          <w:rPr>
            <w:rFonts w:ascii="Times New Roman" w:eastAsia="Times New Roman" w:hAnsi="Times New Roman" w:cs="Times New Roman"/>
            <w:color w:val="0E47CB"/>
            <w:lang w:eastAsia="tr-TR"/>
          </w:rPr>
          <w:t>Gazetesi L 331, 15.12.2010, s. 12</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93" w:anchor="ntc53-L_2020198EN.01001301-E0053"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53</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xml:space="preserve">   Avrupa Parlamentosu ve Konseyinin 24 Kasım 2010 tarihli ve 1094/2010 sayılı Tüzüğü, Avrupa Gözetim Otoritesini (Avrupa Sigorta ve Mesleki Emeklilik Otoritesi) kurarak 716/2009/EC sayılı Kararı </w:t>
      </w:r>
      <w:r w:rsidRPr="001C701D">
        <w:rPr>
          <w:rFonts w:ascii="Times New Roman" w:eastAsia="Times New Roman" w:hAnsi="Times New Roman" w:cs="Times New Roman"/>
          <w:color w:val="333333"/>
          <w:lang w:eastAsia="tr-TR"/>
        </w:rPr>
        <w:lastRenderedPageBreak/>
        <w:t>değiştiriyor ve 2009/79/EC sayılı Komisyon Kararını yürürlükten kaldırıyor (OJ L </w:t>
      </w:r>
      <w:hyperlink r:id="rId194" w:history="1">
        <w:r w:rsidRPr="001C701D">
          <w:rPr>
            <w:rFonts w:ascii="Times New Roman" w:eastAsia="Times New Roman" w:hAnsi="Times New Roman" w:cs="Times New Roman"/>
            <w:color w:val="0E47CB"/>
            <w:lang w:eastAsia="tr-TR"/>
          </w:rPr>
          <w:t>331, 15.12.2010, s. 48</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95" w:anchor="ntc54-L_2020198EN.01001301-E0054"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54</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24 Kasım 2010 tarihli ve 1095/2010 sayılı Tüzüğü, Avrupa Gözetim Otoritesini (Avrupa Menkul Kıymetler ve Piyasalar Otoritesi) kurarak 716/2009/EC sayılı Kararı değiştiriyor ve 2009/77/EC sayılı Komisyon Kararını yürürlükten kaldırıyor (OJ L </w:t>
      </w:r>
      <w:hyperlink r:id="rId196" w:history="1">
        <w:r w:rsidRPr="001C701D">
          <w:rPr>
            <w:rFonts w:ascii="Times New Roman" w:eastAsia="Times New Roman" w:hAnsi="Times New Roman" w:cs="Times New Roman"/>
            <w:color w:val="0E47CB"/>
            <w:lang w:eastAsia="tr-TR"/>
          </w:rPr>
          <w:t>331, 15.12.2010, s. 84</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97" w:anchor="ntc55-L_2020198EN.01001301-E0055"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55</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25 Kasım 2009 tarihli, kuruluşların Topluluk eko-yönetim ve denetim şemasına (EMAS) gönüllü katılımına ilişkin 1221/2009 sayılı Avrupa Parlamentosu ve Konseyi Tüzüğü, 761/2001 sayılı Tüzüğü ve 2001/681/EC ve 2006/193/EC sayılı Komisyon Kararlarını yürürlükten kaldırmaktadır ( </w:t>
      </w:r>
      <w:hyperlink r:id="rId198" w:history="1">
        <w:r w:rsidRPr="001C701D">
          <w:rPr>
            <w:rFonts w:ascii="Times New Roman" w:eastAsia="Times New Roman" w:hAnsi="Times New Roman" w:cs="Times New Roman"/>
            <w:color w:val="0E47CB"/>
            <w:lang w:eastAsia="tr-TR"/>
          </w:rPr>
          <w:t>OJ L 342, 22.12.2009,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199" w:anchor="ntc56-L_2020198EN.01001301-E0056"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56</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25 Kasım 2009 tarihli AB Eko Etiketi hakkındaki 66/2010 sayılı Tüzüğü ( </w:t>
      </w:r>
      <w:hyperlink r:id="rId200" w:history="1">
        <w:r w:rsidRPr="001C701D">
          <w:rPr>
            <w:rFonts w:ascii="Times New Roman" w:eastAsia="Times New Roman" w:hAnsi="Times New Roman" w:cs="Times New Roman"/>
            <w:color w:val="0E47CB"/>
            <w:lang w:eastAsia="tr-TR"/>
          </w:rPr>
          <w:t>OJ L 27, 30.1.2010,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201" w:anchor="ntc57-L_2020198EN.01001301-E0057"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57</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Ürün ve kuruluşların yaşam döngüsü çevresel performansını ölçmek ve iletmek için ortak yöntemlerin kullanımı hakkında 9 Nisan 2013 tarihli 2013/179/EU sayılı Komisyon Tavsiyesi ( </w:t>
      </w:r>
      <w:hyperlink r:id="rId202" w:history="1">
        <w:r w:rsidRPr="001C701D">
          <w:rPr>
            <w:rFonts w:ascii="Times New Roman" w:eastAsia="Times New Roman" w:hAnsi="Times New Roman" w:cs="Times New Roman"/>
            <w:color w:val="0E47CB"/>
            <w:lang w:eastAsia="tr-TR"/>
          </w:rPr>
          <w:t>OJ L 124, 4.5.2013,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203" w:anchor="ntc58-L_2020198EN.01001301-E0058"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58</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16 Nisan 2014 tarihli ve 538/2014 sayılı Tüzüğü, Avrupa Çevresel Ekonomik Hesapları Hakkındaki 691/2011 sayılı Tüzüğü değiştiriyor ( </w:t>
      </w:r>
      <w:hyperlink r:id="rId204" w:history="1">
        <w:r w:rsidRPr="001C701D">
          <w:rPr>
            <w:rFonts w:ascii="Times New Roman" w:eastAsia="Times New Roman" w:hAnsi="Times New Roman" w:cs="Times New Roman"/>
            <w:color w:val="0E47CB"/>
            <w:lang w:eastAsia="tr-TR"/>
          </w:rPr>
          <w:t>OJ L 158, 27.5.2014, s. 113</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205" w:anchor="ntc59-L_2020198EN.01001301-E0059"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59</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27 Haziran 2001 tarihli, belirli plan ve programların çevre üzerindeki etkilerinin değerlendirilmesine ilişkin 2001/42/EC sayılı Direktifi ( </w:t>
      </w:r>
      <w:hyperlink r:id="rId206" w:history="1">
        <w:r w:rsidRPr="001C701D">
          <w:rPr>
            <w:rFonts w:ascii="Times New Roman" w:eastAsia="Times New Roman" w:hAnsi="Times New Roman" w:cs="Times New Roman"/>
            <w:color w:val="0E47CB"/>
            <w:lang w:eastAsia="tr-TR"/>
          </w:rPr>
          <w:t>OJ L 197, 21.7.2001, s. 30</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207" w:anchor="ntc60-L_2020198EN.01001301-E0060"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60</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13 Aralık 2011 tarihli, belirli kamu ve özel projelerin çevre üzerindeki etkilerinin değerlendirilmesine ilişkin 2011/92/EU Direktifi ( </w:t>
      </w:r>
      <w:hyperlink r:id="rId208" w:history="1">
        <w:r w:rsidRPr="001C701D">
          <w:rPr>
            <w:rFonts w:ascii="Times New Roman" w:eastAsia="Times New Roman" w:hAnsi="Times New Roman" w:cs="Times New Roman"/>
            <w:color w:val="0E47CB"/>
            <w:lang w:eastAsia="tr-TR"/>
          </w:rPr>
          <w:t>OJ L 26, 28.1.2012,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209" w:anchor="ntc61-L_2020198EN.01001301-E0061"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61</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26 Şubat 2014 tarihli, imtiyaz sözleşmelerinin verilmesine ilişkin 2014/23/EU sayılı Direktifi ( </w:t>
      </w:r>
      <w:hyperlink r:id="rId210" w:history="1">
        <w:r w:rsidRPr="001C701D">
          <w:rPr>
            <w:rFonts w:ascii="Times New Roman" w:eastAsia="Times New Roman" w:hAnsi="Times New Roman" w:cs="Times New Roman"/>
            <w:color w:val="0E47CB"/>
            <w:lang w:eastAsia="tr-TR"/>
          </w:rPr>
          <w:t>OJ L 94, 28.3.2014,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211" w:anchor="ntc62-L_2020198EN.01001301-E0062"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62</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26 Şubat 2014 tarihli 2014/24/EU sayılı Kamu Alımları Direktifi ve 2004/18/EC sayılı Direktifi yürürlükten kaldırma ( </w:t>
      </w:r>
      <w:hyperlink r:id="rId212" w:history="1">
        <w:r w:rsidRPr="001C701D">
          <w:rPr>
            <w:rFonts w:ascii="Times New Roman" w:eastAsia="Times New Roman" w:hAnsi="Times New Roman" w:cs="Times New Roman"/>
            <w:color w:val="0E47CB"/>
            <w:lang w:eastAsia="tr-TR"/>
          </w:rPr>
          <w:t>OJ L 94, 28.3.2014, s. 65</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213" w:anchor="ntc63-L_2020198EN.01001301-E0063"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63</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Su, enerji, ulaştırma ve posta hizmetleri sektörlerinde faaliyet gösteren kuruluşlar tarafından yapılan alımlara ilişkin 26 Şubat 2014 tarihli 2014/25/EU sayılı Avrupa Parlamentosu ve Konseyi Direktifi ve 2004/17/EC sayılı Direktifi yürürlükten kaldırma ( </w:t>
      </w:r>
      <w:hyperlink r:id="rId214" w:history="1">
        <w:r w:rsidRPr="001C701D">
          <w:rPr>
            <w:rFonts w:ascii="Times New Roman" w:eastAsia="Times New Roman" w:hAnsi="Times New Roman" w:cs="Times New Roman"/>
            <w:color w:val="0E47CB"/>
            <w:lang w:eastAsia="tr-TR"/>
          </w:rPr>
          <w:t>OJ L 94, 28.3.2014, s. 243</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215" w:anchor="ntc64-L_2020198EN.01001301-E0064"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64</w:t>
        </w:r>
        <w:r w:rsidRPr="001C701D">
          <w:rPr>
            <w:rFonts w:ascii="Times New Roman" w:eastAsia="Times New Roman" w:hAnsi="Times New Roman" w:cs="Times New Roman"/>
            <w:color w:val="0E47CB"/>
            <w:lang w:eastAsia="tr-TR"/>
          </w:rPr>
          <w:t> ) </w:t>
        </w:r>
      </w:hyperlink>
      <w:r w:rsidRPr="001C701D">
        <w:rPr>
          <w:rFonts w:ascii="Times New Roman" w:eastAsia="Times New Roman" w:hAnsi="Times New Roman" w:cs="Times New Roman"/>
          <w:color w:val="333333"/>
          <w:lang w:eastAsia="tr-TR"/>
        </w:rPr>
        <w:t>   </w:t>
      </w:r>
      <w:hyperlink r:id="rId216" w:history="1">
        <w:r w:rsidRPr="001C701D">
          <w:rPr>
            <w:rFonts w:ascii="Times New Roman" w:eastAsia="Times New Roman" w:hAnsi="Times New Roman" w:cs="Times New Roman"/>
            <w:color w:val="0E47CB"/>
            <w:lang w:eastAsia="tr-TR"/>
          </w:rPr>
          <w:t>RG L 123, 12.5.2016,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217" w:anchor="ntc65-L_2020198EN.01001301-E0065"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65</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15 Mayıs 2014 tarihli, finansal araçlar piyasaları ve 648/2012 sayılı Tüzüğü değiştiren 600/2014 sayılı Tüzüğü (AB </w:t>
      </w:r>
      <w:hyperlink r:id="rId218" w:history="1">
        <w:r w:rsidRPr="001C701D">
          <w:rPr>
            <w:rFonts w:ascii="Times New Roman" w:eastAsia="Times New Roman" w:hAnsi="Times New Roman" w:cs="Times New Roman"/>
            <w:color w:val="0E47CB"/>
            <w:lang w:eastAsia="tr-TR"/>
          </w:rPr>
          <w:t>Resmi Gazetesi L 173, 12.6.2014, s. 84</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219" w:anchor="ntc66-L_2020198EN.01001301-E0066"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66</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26 Kasım 2014 tarihli ve 1286/2014 sayılı, paketlenmiş perakende ve sigorta tabanlı yatırım ürünleri (</w:t>
      </w:r>
      <w:proofErr w:type="spellStart"/>
      <w:r w:rsidRPr="001C701D">
        <w:rPr>
          <w:rFonts w:ascii="Times New Roman" w:eastAsia="Times New Roman" w:hAnsi="Times New Roman" w:cs="Times New Roman"/>
          <w:color w:val="333333"/>
          <w:lang w:eastAsia="tr-TR"/>
        </w:rPr>
        <w:t>PRIIP'ler</w:t>
      </w:r>
      <w:proofErr w:type="spellEnd"/>
      <w:r w:rsidRPr="001C701D">
        <w:rPr>
          <w:rFonts w:ascii="Times New Roman" w:eastAsia="Times New Roman" w:hAnsi="Times New Roman" w:cs="Times New Roman"/>
          <w:color w:val="333333"/>
          <w:lang w:eastAsia="tr-TR"/>
        </w:rPr>
        <w:t>) için temel bilgi belgeleri hakkındaki Tüzüğü ( </w:t>
      </w:r>
      <w:hyperlink r:id="rId220" w:history="1">
        <w:r w:rsidRPr="001C701D">
          <w:rPr>
            <w:rFonts w:ascii="Times New Roman" w:eastAsia="Times New Roman" w:hAnsi="Times New Roman" w:cs="Times New Roman"/>
            <w:color w:val="0E47CB"/>
            <w:lang w:eastAsia="tr-TR"/>
          </w:rPr>
          <w:t>OJ L 352, 9.12.2014,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221" w:anchor="ntc67-L_2020198EN.01001301-E0067"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67</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Avrupa Parlamentosu ve Konseyinin 20 Haziran 2019 tarihli, Avrupa çapında Kişisel Emeklilik Ürünü (PEPP) hakkındaki 2019/1238 sayılı Tüzüğü ( </w:t>
      </w:r>
      <w:hyperlink r:id="rId222" w:history="1">
        <w:r w:rsidRPr="001C701D">
          <w:rPr>
            <w:rFonts w:ascii="Times New Roman" w:eastAsia="Times New Roman" w:hAnsi="Times New Roman" w:cs="Times New Roman"/>
            <w:color w:val="0E47CB"/>
            <w:lang w:eastAsia="tr-TR"/>
          </w:rPr>
          <w:t>OJ L 198, 25.7.2019, s. 1</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223" w:anchor="ntc68-L_2020198EN.01001301-E0068"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68</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xml:space="preserve">   Avrupa Parlamentosu ve Konseyinin 26 Haziran 2013 tarihli 2013/34/AB sayılı Direktifi, belirli türdeki işletmelerin yıllık mali tabloları, </w:t>
      </w:r>
      <w:proofErr w:type="gramStart"/>
      <w:r w:rsidRPr="001C701D">
        <w:rPr>
          <w:rFonts w:ascii="Times New Roman" w:eastAsia="Times New Roman" w:hAnsi="Times New Roman" w:cs="Times New Roman"/>
          <w:color w:val="333333"/>
          <w:lang w:eastAsia="tr-TR"/>
        </w:rPr>
        <w:t>konsolide</w:t>
      </w:r>
      <w:proofErr w:type="gramEnd"/>
      <w:r w:rsidRPr="001C701D">
        <w:rPr>
          <w:rFonts w:ascii="Times New Roman" w:eastAsia="Times New Roman" w:hAnsi="Times New Roman" w:cs="Times New Roman"/>
          <w:color w:val="333333"/>
          <w:lang w:eastAsia="tr-TR"/>
        </w:rPr>
        <w:t xml:space="preserve"> mali tabloları ve ilgili raporları hakkında, Avrupa </w:t>
      </w:r>
      <w:r w:rsidRPr="001C701D">
        <w:rPr>
          <w:rFonts w:ascii="Times New Roman" w:eastAsia="Times New Roman" w:hAnsi="Times New Roman" w:cs="Times New Roman"/>
          <w:color w:val="333333"/>
          <w:lang w:eastAsia="tr-TR"/>
        </w:rPr>
        <w:lastRenderedPageBreak/>
        <w:t>Parlamentosu ve Konseyinin 2006/43/EC sayılı Direktifini değiştiren ve 78/660/EEC ve 83/349/EEC sayılı Konsey Direktiflerini yürürlükten kaldıran Direktifi ( </w:t>
      </w:r>
      <w:hyperlink r:id="rId224" w:history="1">
        <w:r w:rsidRPr="001C701D">
          <w:rPr>
            <w:rFonts w:ascii="Times New Roman" w:eastAsia="Times New Roman" w:hAnsi="Times New Roman" w:cs="Times New Roman"/>
            <w:color w:val="0E47CB"/>
            <w:lang w:eastAsia="tr-TR"/>
          </w:rPr>
          <w:t>OJ L 182, 29.6.2013, s. 19</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225" w:anchor="ntc69-L_2020198EN.01001301-E0069"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69</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xml:space="preserve">   Menkul kıymetlerin halka arz edilmesi veya düzenlenmiş bir piyasada işlem görmeye kabul edilmesi durumunda yayınlanacak </w:t>
      </w:r>
      <w:proofErr w:type="gramStart"/>
      <w:r w:rsidRPr="001C701D">
        <w:rPr>
          <w:rFonts w:ascii="Times New Roman" w:eastAsia="Times New Roman" w:hAnsi="Times New Roman" w:cs="Times New Roman"/>
          <w:color w:val="333333"/>
          <w:lang w:eastAsia="tr-TR"/>
        </w:rPr>
        <w:t>prospektüs</w:t>
      </w:r>
      <w:proofErr w:type="gramEnd"/>
      <w:r w:rsidRPr="001C701D">
        <w:rPr>
          <w:rFonts w:ascii="Times New Roman" w:eastAsia="Times New Roman" w:hAnsi="Times New Roman" w:cs="Times New Roman"/>
          <w:color w:val="333333"/>
          <w:lang w:eastAsia="tr-TR"/>
        </w:rPr>
        <w:t xml:space="preserve"> hakkında 14 Haziran 2017 tarihli ve (AB) 2017/1129 sayılı Avrupa Parlamentosu ve Konseyi Tüzüğü ve 2003/71/EC sayılı Direktifi yürürlükten kaldıran düzenleme ( </w:t>
      </w:r>
      <w:hyperlink r:id="rId226" w:history="1">
        <w:r w:rsidRPr="001C701D">
          <w:rPr>
            <w:rFonts w:ascii="Times New Roman" w:eastAsia="Times New Roman" w:hAnsi="Times New Roman" w:cs="Times New Roman"/>
            <w:color w:val="0E47CB"/>
            <w:lang w:eastAsia="tr-TR"/>
          </w:rPr>
          <w:t>OJ L 168, 30.6.2017, s. 12</w:t>
        </w:r>
      </w:hyperlink>
      <w:r w:rsidRPr="001C701D">
        <w:rPr>
          <w:rFonts w:ascii="Times New Roman" w:eastAsia="Times New Roman" w:hAnsi="Times New Roman" w:cs="Times New Roman"/>
          <w:color w:val="333333"/>
          <w:lang w:eastAsia="tr-TR"/>
        </w:rPr>
        <w:t> ).</w:t>
      </w:r>
    </w:p>
    <w:p w:rsidR="001C701D" w:rsidRPr="001C701D" w:rsidRDefault="001C701D" w:rsidP="001C701D">
      <w:pPr>
        <w:shd w:val="clear" w:color="auto" w:fill="FFFFFF"/>
        <w:spacing w:before="60" w:after="60" w:line="312" w:lineRule="atLeast"/>
        <w:jc w:val="both"/>
        <w:rPr>
          <w:rFonts w:ascii="Times New Roman" w:eastAsia="Times New Roman" w:hAnsi="Times New Roman" w:cs="Times New Roman"/>
          <w:color w:val="333333"/>
          <w:lang w:eastAsia="tr-TR"/>
        </w:rPr>
      </w:pPr>
      <w:hyperlink r:id="rId227" w:anchor="ntc70-L_2020198EN.01001301-E0070" w:history="1">
        <w:r w:rsidRPr="001C701D">
          <w:rPr>
            <w:rFonts w:ascii="Times New Roman" w:eastAsia="Times New Roman" w:hAnsi="Times New Roman" w:cs="Times New Roman"/>
            <w:color w:val="0E47CB"/>
            <w:lang w:eastAsia="tr-TR"/>
          </w:rPr>
          <w:t>( </w:t>
        </w:r>
        <w:r w:rsidRPr="001C701D">
          <w:rPr>
            <w:rFonts w:ascii="Times New Roman" w:eastAsia="Times New Roman" w:hAnsi="Times New Roman" w:cs="Times New Roman"/>
            <w:color w:val="0E47CB"/>
            <w:sz w:val="15"/>
            <w:szCs w:val="15"/>
            <w:vertAlign w:val="superscript"/>
            <w:lang w:eastAsia="tr-TR"/>
          </w:rPr>
          <w:t>70</w:t>
        </w:r>
        <w:r w:rsidRPr="001C701D">
          <w:rPr>
            <w:rFonts w:ascii="Times New Roman" w:eastAsia="Times New Roman" w:hAnsi="Times New Roman" w:cs="Times New Roman"/>
            <w:color w:val="0E47CB"/>
            <w:lang w:eastAsia="tr-TR"/>
          </w:rPr>
          <w:t> )</w:t>
        </w:r>
      </w:hyperlink>
      <w:r w:rsidRPr="001C701D">
        <w:rPr>
          <w:rFonts w:ascii="Times New Roman" w:eastAsia="Times New Roman" w:hAnsi="Times New Roman" w:cs="Times New Roman"/>
          <w:color w:val="333333"/>
          <w:lang w:eastAsia="tr-TR"/>
        </w:rPr>
        <w:t xml:space="preserve">   Avrupa Parlamentosu ve Konseyinin 21 Mayıs 2013 tarihli ve 525/2013 sayılı Tüzüğü, sera gazı </w:t>
      </w:r>
      <w:proofErr w:type="gramStart"/>
      <w:r w:rsidRPr="001C701D">
        <w:rPr>
          <w:rFonts w:ascii="Times New Roman" w:eastAsia="Times New Roman" w:hAnsi="Times New Roman" w:cs="Times New Roman"/>
          <w:color w:val="333333"/>
          <w:lang w:eastAsia="tr-TR"/>
        </w:rPr>
        <w:t>emisyonlarının</w:t>
      </w:r>
      <w:proofErr w:type="gramEnd"/>
      <w:r w:rsidRPr="001C701D">
        <w:rPr>
          <w:rFonts w:ascii="Times New Roman" w:eastAsia="Times New Roman" w:hAnsi="Times New Roman" w:cs="Times New Roman"/>
          <w:color w:val="333333"/>
          <w:lang w:eastAsia="tr-TR"/>
        </w:rPr>
        <w:t xml:space="preserve"> izlenmesi ve raporlanması ile iklim değişikliği ile ilgili ulusal ve Birlik düzeyindeki diğer bilgilerin raporlanması için bir mekanizma hakkında ve 280/2004/EC sayılı Kararı yürürlükten kaldırmaktadır (OJ </w:t>
      </w:r>
      <w:hyperlink r:id="rId228" w:history="1">
        <w:r w:rsidRPr="001C701D">
          <w:rPr>
            <w:rFonts w:ascii="Times New Roman" w:eastAsia="Times New Roman" w:hAnsi="Times New Roman" w:cs="Times New Roman"/>
            <w:color w:val="0E47CB"/>
            <w:lang w:eastAsia="tr-TR"/>
          </w:rPr>
          <w:t>L 165, 18.6.2013, s. 13</w:t>
        </w:r>
      </w:hyperlink>
      <w:r w:rsidRPr="001C701D">
        <w:rPr>
          <w:rFonts w:ascii="Times New Roman" w:eastAsia="Times New Roman" w:hAnsi="Times New Roman" w:cs="Times New Roman"/>
          <w:color w:val="333333"/>
          <w:lang w:eastAsia="tr-TR"/>
        </w:rPr>
        <w:t> ).</w:t>
      </w:r>
    </w:p>
    <w:p w:rsidR="00E776F1" w:rsidRDefault="00E776F1"/>
    <w:sectPr w:rsidR="00E776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434"/>
    <w:rsid w:val="001C701D"/>
    <w:rsid w:val="003D6434"/>
    <w:rsid w:val="00E776F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DA9B70-0F9D-49C7-BABD-43256DDBF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msonormal0">
    <w:name w:val="msonormal"/>
    <w:basedOn w:val="Normal"/>
    <w:rsid w:val="001C701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oj-hd-date">
    <w:name w:val="oj-hd-date"/>
    <w:basedOn w:val="Normal"/>
    <w:rsid w:val="001C701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oj-hd-lg">
    <w:name w:val="oj-hd-lg"/>
    <w:basedOn w:val="Normal"/>
    <w:rsid w:val="001C701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oj-hd-ti">
    <w:name w:val="oj-hd-ti"/>
    <w:basedOn w:val="Normal"/>
    <w:rsid w:val="001C701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oj-hd-oj">
    <w:name w:val="oj-hd-oj"/>
    <w:basedOn w:val="Normal"/>
    <w:rsid w:val="001C701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oj-doc-ti">
    <w:name w:val="oj-doc-ti"/>
    <w:basedOn w:val="Normal"/>
    <w:rsid w:val="001C701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oj-normal">
    <w:name w:val="oj-normal"/>
    <w:basedOn w:val="Normal"/>
    <w:rsid w:val="001C701D"/>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semiHidden/>
    <w:unhideWhenUsed/>
    <w:rsid w:val="001C701D"/>
    <w:rPr>
      <w:color w:val="0000FF"/>
      <w:u w:val="single"/>
    </w:rPr>
  </w:style>
  <w:style w:type="character" w:styleId="zlenenKpr">
    <w:name w:val="FollowedHyperlink"/>
    <w:basedOn w:val="VarsaylanParagrafYazTipi"/>
    <w:uiPriority w:val="99"/>
    <w:semiHidden/>
    <w:unhideWhenUsed/>
    <w:rsid w:val="001C701D"/>
    <w:rPr>
      <w:color w:val="800080"/>
      <w:u w:val="single"/>
    </w:rPr>
  </w:style>
  <w:style w:type="character" w:customStyle="1" w:styleId="oj-super">
    <w:name w:val="oj-super"/>
    <w:basedOn w:val="VarsaylanParagrafYazTipi"/>
    <w:rsid w:val="001C701D"/>
  </w:style>
  <w:style w:type="paragraph" w:customStyle="1" w:styleId="oj-ti-section-1">
    <w:name w:val="oj-ti-section-1"/>
    <w:basedOn w:val="Normal"/>
    <w:rsid w:val="001C701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oj-ti-section-2">
    <w:name w:val="oj-ti-section-2"/>
    <w:basedOn w:val="Normal"/>
    <w:rsid w:val="001C701D"/>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oj-bold">
    <w:name w:val="oj-bold"/>
    <w:basedOn w:val="VarsaylanParagrafYazTipi"/>
    <w:rsid w:val="001C701D"/>
  </w:style>
  <w:style w:type="paragraph" w:customStyle="1" w:styleId="oj-ti-art">
    <w:name w:val="oj-ti-art"/>
    <w:basedOn w:val="Normal"/>
    <w:rsid w:val="001C701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oj-sti-art">
    <w:name w:val="oj-sti-art"/>
    <w:basedOn w:val="Normal"/>
    <w:rsid w:val="001C701D"/>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oj-italic">
    <w:name w:val="oj-italic"/>
    <w:basedOn w:val="VarsaylanParagrafYazTipi"/>
    <w:rsid w:val="001C701D"/>
  </w:style>
  <w:style w:type="paragraph" w:customStyle="1" w:styleId="oj-note">
    <w:name w:val="oj-note"/>
    <w:basedOn w:val="Normal"/>
    <w:rsid w:val="001C701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oj-signatory">
    <w:name w:val="oj-signatory"/>
    <w:basedOn w:val="Normal"/>
    <w:rsid w:val="001C701D"/>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8943022">
      <w:bodyDiv w:val="1"/>
      <w:marLeft w:val="0"/>
      <w:marRight w:val="0"/>
      <w:marTop w:val="0"/>
      <w:marBottom w:val="0"/>
      <w:divBdr>
        <w:top w:val="none" w:sz="0" w:space="0" w:color="auto"/>
        <w:left w:val="none" w:sz="0" w:space="0" w:color="auto"/>
        <w:bottom w:val="none" w:sz="0" w:space="0" w:color="auto"/>
        <w:right w:val="none" w:sz="0" w:space="0" w:color="auto"/>
      </w:divBdr>
      <w:divsChild>
        <w:div w:id="507793506">
          <w:marLeft w:val="0"/>
          <w:marRight w:val="0"/>
          <w:marTop w:val="0"/>
          <w:marBottom w:val="0"/>
          <w:divBdr>
            <w:top w:val="none" w:sz="0" w:space="0" w:color="auto"/>
            <w:left w:val="none" w:sz="0" w:space="0" w:color="auto"/>
            <w:bottom w:val="none" w:sz="0" w:space="0" w:color="auto"/>
            <w:right w:val="none" w:sz="0" w:space="0" w:color="auto"/>
          </w:divBdr>
          <w:divsChild>
            <w:div w:id="619186161">
              <w:marLeft w:val="0"/>
              <w:marRight w:val="0"/>
              <w:marTop w:val="0"/>
              <w:marBottom w:val="0"/>
              <w:divBdr>
                <w:top w:val="none" w:sz="0" w:space="0" w:color="auto"/>
                <w:left w:val="none" w:sz="0" w:space="0" w:color="auto"/>
                <w:bottom w:val="none" w:sz="0" w:space="0" w:color="auto"/>
                <w:right w:val="none" w:sz="0" w:space="0" w:color="auto"/>
              </w:divBdr>
            </w:div>
            <w:div w:id="784076994">
              <w:marLeft w:val="0"/>
              <w:marRight w:val="0"/>
              <w:marTop w:val="0"/>
              <w:marBottom w:val="0"/>
              <w:divBdr>
                <w:top w:val="none" w:sz="0" w:space="0" w:color="auto"/>
                <w:left w:val="none" w:sz="0" w:space="0" w:color="auto"/>
                <w:bottom w:val="none" w:sz="0" w:space="0" w:color="auto"/>
                <w:right w:val="none" w:sz="0" w:space="0" w:color="auto"/>
              </w:divBdr>
              <w:divsChild>
                <w:div w:id="620232722">
                  <w:marLeft w:val="0"/>
                  <w:marRight w:val="0"/>
                  <w:marTop w:val="0"/>
                  <w:marBottom w:val="0"/>
                  <w:divBdr>
                    <w:top w:val="none" w:sz="0" w:space="0" w:color="auto"/>
                    <w:left w:val="none" w:sz="0" w:space="0" w:color="auto"/>
                    <w:bottom w:val="none" w:sz="0" w:space="0" w:color="auto"/>
                    <w:right w:val="none" w:sz="0" w:space="0" w:color="auto"/>
                  </w:divBdr>
                </w:div>
                <w:div w:id="1055157429">
                  <w:marLeft w:val="0"/>
                  <w:marRight w:val="0"/>
                  <w:marTop w:val="0"/>
                  <w:marBottom w:val="0"/>
                  <w:divBdr>
                    <w:top w:val="none" w:sz="0" w:space="0" w:color="auto"/>
                    <w:left w:val="none" w:sz="0" w:space="0" w:color="auto"/>
                    <w:bottom w:val="none" w:sz="0" w:space="0" w:color="auto"/>
                    <w:right w:val="none" w:sz="0" w:space="0" w:color="auto"/>
                  </w:divBdr>
                </w:div>
                <w:div w:id="42799864">
                  <w:marLeft w:val="0"/>
                  <w:marRight w:val="0"/>
                  <w:marTop w:val="0"/>
                  <w:marBottom w:val="0"/>
                  <w:divBdr>
                    <w:top w:val="none" w:sz="0" w:space="0" w:color="auto"/>
                    <w:left w:val="none" w:sz="0" w:space="0" w:color="auto"/>
                    <w:bottom w:val="none" w:sz="0" w:space="0" w:color="auto"/>
                    <w:right w:val="none" w:sz="0" w:space="0" w:color="auto"/>
                  </w:divBdr>
                </w:div>
                <w:div w:id="1008753464">
                  <w:marLeft w:val="0"/>
                  <w:marRight w:val="0"/>
                  <w:marTop w:val="0"/>
                  <w:marBottom w:val="0"/>
                  <w:divBdr>
                    <w:top w:val="none" w:sz="0" w:space="0" w:color="auto"/>
                    <w:left w:val="none" w:sz="0" w:space="0" w:color="auto"/>
                    <w:bottom w:val="none" w:sz="0" w:space="0" w:color="auto"/>
                    <w:right w:val="none" w:sz="0" w:space="0" w:color="auto"/>
                  </w:divBdr>
                </w:div>
                <w:div w:id="321854751">
                  <w:marLeft w:val="0"/>
                  <w:marRight w:val="0"/>
                  <w:marTop w:val="0"/>
                  <w:marBottom w:val="0"/>
                  <w:divBdr>
                    <w:top w:val="none" w:sz="0" w:space="0" w:color="auto"/>
                    <w:left w:val="none" w:sz="0" w:space="0" w:color="auto"/>
                    <w:bottom w:val="none" w:sz="0" w:space="0" w:color="auto"/>
                    <w:right w:val="none" w:sz="0" w:space="0" w:color="auto"/>
                  </w:divBdr>
                </w:div>
                <w:div w:id="2029940009">
                  <w:marLeft w:val="0"/>
                  <w:marRight w:val="0"/>
                  <w:marTop w:val="0"/>
                  <w:marBottom w:val="0"/>
                  <w:divBdr>
                    <w:top w:val="none" w:sz="0" w:space="0" w:color="auto"/>
                    <w:left w:val="none" w:sz="0" w:space="0" w:color="auto"/>
                    <w:bottom w:val="none" w:sz="0" w:space="0" w:color="auto"/>
                    <w:right w:val="none" w:sz="0" w:space="0" w:color="auto"/>
                  </w:divBdr>
                </w:div>
                <w:div w:id="24254072">
                  <w:marLeft w:val="0"/>
                  <w:marRight w:val="0"/>
                  <w:marTop w:val="0"/>
                  <w:marBottom w:val="0"/>
                  <w:divBdr>
                    <w:top w:val="none" w:sz="0" w:space="0" w:color="auto"/>
                    <w:left w:val="none" w:sz="0" w:space="0" w:color="auto"/>
                    <w:bottom w:val="none" w:sz="0" w:space="0" w:color="auto"/>
                    <w:right w:val="none" w:sz="0" w:space="0" w:color="auto"/>
                  </w:divBdr>
                </w:div>
                <w:div w:id="372193197">
                  <w:marLeft w:val="0"/>
                  <w:marRight w:val="0"/>
                  <w:marTop w:val="0"/>
                  <w:marBottom w:val="0"/>
                  <w:divBdr>
                    <w:top w:val="none" w:sz="0" w:space="0" w:color="auto"/>
                    <w:left w:val="none" w:sz="0" w:space="0" w:color="auto"/>
                    <w:bottom w:val="none" w:sz="0" w:space="0" w:color="auto"/>
                    <w:right w:val="none" w:sz="0" w:space="0" w:color="auto"/>
                  </w:divBdr>
                </w:div>
                <w:div w:id="836505561">
                  <w:marLeft w:val="0"/>
                  <w:marRight w:val="0"/>
                  <w:marTop w:val="0"/>
                  <w:marBottom w:val="0"/>
                  <w:divBdr>
                    <w:top w:val="none" w:sz="0" w:space="0" w:color="auto"/>
                    <w:left w:val="none" w:sz="0" w:space="0" w:color="auto"/>
                    <w:bottom w:val="none" w:sz="0" w:space="0" w:color="auto"/>
                    <w:right w:val="none" w:sz="0" w:space="0" w:color="auto"/>
                  </w:divBdr>
                </w:div>
                <w:div w:id="1047609370">
                  <w:marLeft w:val="0"/>
                  <w:marRight w:val="0"/>
                  <w:marTop w:val="0"/>
                  <w:marBottom w:val="0"/>
                  <w:divBdr>
                    <w:top w:val="none" w:sz="0" w:space="0" w:color="auto"/>
                    <w:left w:val="none" w:sz="0" w:space="0" w:color="auto"/>
                    <w:bottom w:val="none" w:sz="0" w:space="0" w:color="auto"/>
                    <w:right w:val="none" w:sz="0" w:space="0" w:color="auto"/>
                  </w:divBdr>
                </w:div>
                <w:div w:id="1390149999">
                  <w:marLeft w:val="0"/>
                  <w:marRight w:val="0"/>
                  <w:marTop w:val="0"/>
                  <w:marBottom w:val="0"/>
                  <w:divBdr>
                    <w:top w:val="none" w:sz="0" w:space="0" w:color="auto"/>
                    <w:left w:val="none" w:sz="0" w:space="0" w:color="auto"/>
                    <w:bottom w:val="none" w:sz="0" w:space="0" w:color="auto"/>
                    <w:right w:val="none" w:sz="0" w:space="0" w:color="auto"/>
                  </w:divBdr>
                </w:div>
                <w:div w:id="49809368">
                  <w:marLeft w:val="0"/>
                  <w:marRight w:val="0"/>
                  <w:marTop w:val="0"/>
                  <w:marBottom w:val="0"/>
                  <w:divBdr>
                    <w:top w:val="none" w:sz="0" w:space="0" w:color="auto"/>
                    <w:left w:val="none" w:sz="0" w:space="0" w:color="auto"/>
                    <w:bottom w:val="none" w:sz="0" w:space="0" w:color="auto"/>
                    <w:right w:val="none" w:sz="0" w:space="0" w:color="auto"/>
                  </w:divBdr>
                </w:div>
                <w:div w:id="1749113527">
                  <w:marLeft w:val="0"/>
                  <w:marRight w:val="0"/>
                  <w:marTop w:val="0"/>
                  <w:marBottom w:val="0"/>
                  <w:divBdr>
                    <w:top w:val="none" w:sz="0" w:space="0" w:color="auto"/>
                    <w:left w:val="none" w:sz="0" w:space="0" w:color="auto"/>
                    <w:bottom w:val="none" w:sz="0" w:space="0" w:color="auto"/>
                    <w:right w:val="none" w:sz="0" w:space="0" w:color="auto"/>
                  </w:divBdr>
                </w:div>
                <w:div w:id="499466337">
                  <w:marLeft w:val="0"/>
                  <w:marRight w:val="0"/>
                  <w:marTop w:val="0"/>
                  <w:marBottom w:val="0"/>
                  <w:divBdr>
                    <w:top w:val="none" w:sz="0" w:space="0" w:color="auto"/>
                    <w:left w:val="none" w:sz="0" w:space="0" w:color="auto"/>
                    <w:bottom w:val="none" w:sz="0" w:space="0" w:color="auto"/>
                    <w:right w:val="none" w:sz="0" w:space="0" w:color="auto"/>
                  </w:divBdr>
                </w:div>
                <w:div w:id="1134179740">
                  <w:marLeft w:val="0"/>
                  <w:marRight w:val="0"/>
                  <w:marTop w:val="0"/>
                  <w:marBottom w:val="0"/>
                  <w:divBdr>
                    <w:top w:val="none" w:sz="0" w:space="0" w:color="auto"/>
                    <w:left w:val="none" w:sz="0" w:space="0" w:color="auto"/>
                    <w:bottom w:val="none" w:sz="0" w:space="0" w:color="auto"/>
                    <w:right w:val="none" w:sz="0" w:space="0" w:color="auto"/>
                  </w:divBdr>
                </w:div>
                <w:div w:id="1865166225">
                  <w:marLeft w:val="0"/>
                  <w:marRight w:val="0"/>
                  <w:marTop w:val="0"/>
                  <w:marBottom w:val="0"/>
                  <w:divBdr>
                    <w:top w:val="none" w:sz="0" w:space="0" w:color="auto"/>
                    <w:left w:val="none" w:sz="0" w:space="0" w:color="auto"/>
                    <w:bottom w:val="none" w:sz="0" w:space="0" w:color="auto"/>
                    <w:right w:val="none" w:sz="0" w:space="0" w:color="auto"/>
                  </w:divBdr>
                </w:div>
                <w:div w:id="1406147117">
                  <w:marLeft w:val="0"/>
                  <w:marRight w:val="0"/>
                  <w:marTop w:val="0"/>
                  <w:marBottom w:val="0"/>
                  <w:divBdr>
                    <w:top w:val="none" w:sz="0" w:space="0" w:color="auto"/>
                    <w:left w:val="none" w:sz="0" w:space="0" w:color="auto"/>
                    <w:bottom w:val="none" w:sz="0" w:space="0" w:color="auto"/>
                    <w:right w:val="none" w:sz="0" w:space="0" w:color="auto"/>
                  </w:divBdr>
                </w:div>
                <w:div w:id="588585873">
                  <w:marLeft w:val="0"/>
                  <w:marRight w:val="0"/>
                  <w:marTop w:val="0"/>
                  <w:marBottom w:val="0"/>
                  <w:divBdr>
                    <w:top w:val="none" w:sz="0" w:space="0" w:color="auto"/>
                    <w:left w:val="none" w:sz="0" w:space="0" w:color="auto"/>
                    <w:bottom w:val="none" w:sz="0" w:space="0" w:color="auto"/>
                    <w:right w:val="none" w:sz="0" w:space="0" w:color="auto"/>
                  </w:divBdr>
                </w:div>
                <w:div w:id="1211377096">
                  <w:marLeft w:val="0"/>
                  <w:marRight w:val="0"/>
                  <w:marTop w:val="0"/>
                  <w:marBottom w:val="0"/>
                  <w:divBdr>
                    <w:top w:val="none" w:sz="0" w:space="0" w:color="auto"/>
                    <w:left w:val="none" w:sz="0" w:space="0" w:color="auto"/>
                    <w:bottom w:val="none" w:sz="0" w:space="0" w:color="auto"/>
                    <w:right w:val="none" w:sz="0" w:space="0" w:color="auto"/>
                  </w:divBdr>
                </w:div>
                <w:div w:id="903026096">
                  <w:marLeft w:val="0"/>
                  <w:marRight w:val="0"/>
                  <w:marTop w:val="0"/>
                  <w:marBottom w:val="0"/>
                  <w:divBdr>
                    <w:top w:val="none" w:sz="0" w:space="0" w:color="auto"/>
                    <w:left w:val="none" w:sz="0" w:space="0" w:color="auto"/>
                    <w:bottom w:val="none" w:sz="0" w:space="0" w:color="auto"/>
                    <w:right w:val="none" w:sz="0" w:space="0" w:color="auto"/>
                  </w:divBdr>
                </w:div>
                <w:div w:id="1754736022">
                  <w:marLeft w:val="0"/>
                  <w:marRight w:val="0"/>
                  <w:marTop w:val="0"/>
                  <w:marBottom w:val="0"/>
                  <w:divBdr>
                    <w:top w:val="none" w:sz="0" w:space="0" w:color="auto"/>
                    <w:left w:val="none" w:sz="0" w:space="0" w:color="auto"/>
                    <w:bottom w:val="none" w:sz="0" w:space="0" w:color="auto"/>
                    <w:right w:val="none" w:sz="0" w:space="0" w:color="auto"/>
                  </w:divBdr>
                </w:div>
                <w:div w:id="164247804">
                  <w:marLeft w:val="0"/>
                  <w:marRight w:val="0"/>
                  <w:marTop w:val="0"/>
                  <w:marBottom w:val="0"/>
                  <w:divBdr>
                    <w:top w:val="none" w:sz="0" w:space="0" w:color="auto"/>
                    <w:left w:val="none" w:sz="0" w:space="0" w:color="auto"/>
                    <w:bottom w:val="none" w:sz="0" w:space="0" w:color="auto"/>
                    <w:right w:val="none" w:sz="0" w:space="0" w:color="auto"/>
                  </w:divBdr>
                </w:div>
                <w:div w:id="293292553">
                  <w:marLeft w:val="0"/>
                  <w:marRight w:val="0"/>
                  <w:marTop w:val="0"/>
                  <w:marBottom w:val="0"/>
                  <w:divBdr>
                    <w:top w:val="none" w:sz="0" w:space="0" w:color="auto"/>
                    <w:left w:val="none" w:sz="0" w:space="0" w:color="auto"/>
                    <w:bottom w:val="none" w:sz="0" w:space="0" w:color="auto"/>
                    <w:right w:val="none" w:sz="0" w:space="0" w:color="auto"/>
                  </w:divBdr>
                </w:div>
                <w:div w:id="1613051403">
                  <w:marLeft w:val="0"/>
                  <w:marRight w:val="0"/>
                  <w:marTop w:val="0"/>
                  <w:marBottom w:val="0"/>
                  <w:divBdr>
                    <w:top w:val="none" w:sz="0" w:space="0" w:color="auto"/>
                    <w:left w:val="none" w:sz="0" w:space="0" w:color="auto"/>
                    <w:bottom w:val="none" w:sz="0" w:space="0" w:color="auto"/>
                    <w:right w:val="none" w:sz="0" w:space="0" w:color="auto"/>
                  </w:divBdr>
                </w:div>
                <w:div w:id="81489734">
                  <w:marLeft w:val="0"/>
                  <w:marRight w:val="0"/>
                  <w:marTop w:val="0"/>
                  <w:marBottom w:val="0"/>
                  <w:divBdr>
                    <w:top w:val="none" w:sz="0" w:space="0" w:color="auto"/>
                    <w:left w:val="none" w:sz="0" w:space="0" w:color="auto"/>
                    <w:bottom w:val="none" w:sz="0" w:space="0" w:color="auto"/>
                    <w:right w:val="none" w:sz="0" w:space="0" w:color="auto"/>
                  </w:divBdr>
                </w:div>
                <w:div w:id="2058699658">
                  <w:marLeft w:val="0"/>
                  <w:marRight w:val="0"/>
                  <w:marTop w:val="0"/>
                  <w:marBottom w:val="0"/>
                  <w:divBdr>
                    <w:top w:val="none" w:sz="0" w:space="0" w:color="auto"/>
                    <w:left w:val="none" w:sz="0" w:space="0" w:color="auto"/>
                    <w:bottom w:val="none" w:sz="0" w:space="0" w:color="auto"/>
                    <w:right w:val="none" w:sz="0" w:space="0" w:color="auto"/>
                  </w:divBdr>
                </w:div>
                <w:div w:id="587887201">
                  <w:marLeft w:val="0"/>
                  <w:marRight w:val="0"/>
                  <w:marTop w:val="0"/>
                  <w:marBottom w:val="0"/>
                  <w:divBdr>
                    <w:top w:val="none" w:sz="0" w:space="0" w:color="auto"/>
                    <w:left w:val="none" w:sz="0" w:space="0" w:color="auto"/>
                    <w:bottom w:val="none" w:sz="0" w:space="0" w:color="auto"/>
                    <w:right w:val="none" w:sz="0" w:space="0" w:color="auto"/>
                  </w:divBdr>
                </w:div>
                <w:div w:id="1929462647">
                  <w:marLeft w:val="0"/>
                  <w:marRight w:val="0"/>
                  <w:marTop w:val="0"/>
                  <w:marBottom w:val="0"/>
                  <w:divBdr>
                    <w:top w:val="none" w:sz="0" w:space="0" w:color="auto"/>
                    <w:left w:val="none" w:sz="0" w:space="0" w:color="auto"/>
                    <w:bottom w:val="none" w:sz="0" w:space="0" w:color="auto"/>
                    <w:right w:val="none" w:sz="0" w:space="0" w:color="auto"/>
                  </w:divBdr>
                </w:div>
                <w:div w:id="1790735072">
                  <w:marLeft w:val="0"/>
                  <w:marRight w:val="0"/>
                  <w:marTop w:val="0"/>
                  <w:marBottom w:val="0"/>
                  <w:divBdr>
                    <w:top w:val="none" w:sz="0" w:space="0" w:color="auto"/>
                    <w:left w:val="none" w:sz="0" w:space="0" w:color="auto"/>
                    <w:bottom w:val="none" w:sz="0" w:space="0" w:color="auto"/>
                    <w:right w:val="none" w:sz="0" w:space="0" w:color="auto"/>
                  </w:divBdr>
                </w:div>
                <w:div w:id="61607073">
                  <w:marLeft w:val="0"/>
                  <w:marRight w:val="0"/>
                  <w:marTop w:val="0"/>
                  <w:marBottom w:val="0"/>
                  <w:divBdr>
                    <w:top w:val="none" w:sz="0" w:space="0" w:color="auto"/>
                    <w:left w:val="none" w:sz="0" w:space="0" w:color="auto"/>
                    <w:bottom w:val="none" w:sz="0" w:space="0" w:color="auto"/>
                    <w:right w:val="none" w:sz="0" w:space="0" w:color="auto"/>
                  </w:divBdr>
                </w:div>
                <w:div w:id="1327632109">
                  <w:marLeft w:val="0"/>
                  <w:marRight w:val="0"/>
                  <w:marTop w:val="0"/>
                  <w:marBottom w:val="0"/>
                  <w:divBdr>
                    <w:top w:val="none" w:sz="0" w:space="0" w:color="auto"/>
                    <w:left w:val="none" w:sz="0" w:space="0" w:color="auto"/>
                    <w:bottom w:val="none" w:sz="0" w:space="0" w:color="auto"/>
                    <w:right w:val="none" w:sz="0" w:space="0" w:color="auto"/>
                  </w:divBdr>
                </w:div>
                <w:div w:id="1990819376">
                  <w:marLeft w:val="0"/>
                  <w:marRight w:val="0"/>
                  <w:marTop w:val="0"/>
                  <w:marBottom w:val="0"/>
                  <w:divBdr>
                    <w:top w:val="none" w:sz="0" w:space="0" w:color="auto"/>
                    <w:left w:val="none" w:sz="0" w:space="0" w:color="auto"/>
                    <w:bottom w:val="none" w:sz="0" w:space="0" w:color="auto"/>
                    <w:right w:val="none" w:sz="0" w:space="0" w:color="auto"/>
                  </w:divBdr>
                </w:div>
                <w:div w:id="1781298501">
                  <w:marLeft w:val="0"/>
                  <w:marRight w:val="0"/>
                  <w:marTop w:val="0"/>
                  <w:marBottom w:val="0"/>
                  <w:divBdr>
                    <w:top w:val="none" w:sz="0" w:space="0" w:color="auto"/>
                    <w:left w:val="none" w:sz="0" w:space="0" w:color="auto"/>
                    <w:bottom w:val="none" w:sz="0" w:space="0" w:color="auto"/>
                    <w:right w:val="none" w:sz="0" w:space="0" w:color="auto"/>
                  </w:divBdr>
                </w:div>
                <w:div w:id="745885922">
                  <w:marLeft w:val="0"/>
                  <w:marRight w:val="0"/>
                  <w:marTop w:val="0"/>
                  <w:marBottom w:val="0"/>
                  <w:divBdr>
                    <w:top w:val="none" w:sz="0" w:space="0" w:color="auto"/>
                    <w:left w:val="none" w:sz="0" w:space="0" w:color="auto"/>
                    <w:bottom w:val="none" w:sz="0" w:space="0" w:color="auto"/>
                    <w:right w:val="none" w:sz="0" w:space="0" w:color="auto"/>
                  </w:divBdr>
                </w:div>
                <w:div w:id="181939992">
                  <w:marLeft w:val="0"/>
                  <w:marRight w:val="0"/>
                  <w:marTop w:val="0"/>
                  <w:marBottom w:val="0"/>
                  <w:divBdr>
                    <w:top w:val="none" w:sz="0" w:space="0" w:color="auto"/>
                    <w:left w:val="none" w:sz="0" w:space="0" w:color="auto"/>
                    <w:bottom w:val="none" w:sz="0" w:space="0" w:color="auto"/>
                    <w:right w:val="none" w:sz="0" w:space="0" w:color="auto"/>
                  </w:divBdr>
                </w:div>
              </w:divsChild>
            </w:div>
            <w:div w:id="465241414">
              <w:marLeft w:val="0"/>
              <w:marRight w:val="0"/>
              <w:marTop w:val="0"/>
              <w:marBottom w:val="0"/>
              <w:divBdr>
                <w:top w:val="none" w:sz="0" w:space="0" w:color="auto"/>
                <w:left w:val="none" w:sz="0" w:space="0" w:color="auto"/>
                <w:bottom w:val="none" w:sz="0" w:space="0" w:color="auto"/>
                <w:right w:val="none" w:sz="0" w:space="0" w:color="auto"/>
              </w:divBdr>
              <w:divsChild>
                <w:div w:id="1644264544">
                  <w:marLeft w:val="0"/>
                  <w:marRight w:val="0"/>
                  <w:marTop w:val="0"/>
                  <w:marBottom w:val="0"/>
                  <w:divBdr>
                    <w:top w:val="none" w:sz="0" w:space="0" w:color="auto"/>
                    <w:left w:val="none" w:sz="0" w:space="0" w:color="auto"/>
                    <w:bottom w:val="none" w:sz="0" w:space="0" w:color="auto"/>
                    <w:right w:val="none" w:sz="0" w:space="0" w:color="auto"/>
                  </w:divBdr>
                  <w:divsChild>
                    <w:div w:id="1900704122">
                      <w:marLeft w:val="0"/>
                      <w:marRight w:val="0"/>
                      <w:marTop w:val="0"/>
                      <w:marBottom w:val="0"/>
                      <w:divBdr>
                        <w:top w:val="none" w:sz="0" w:space="0" w:color="auto"/>
                        <w:left w:val="none" w:sz="0" w:space="0" w:color="auto"/>
                        <w:bottom w:val="none" w:sz="0" w:space="0" w:color="auto"/>
                        <w:right w:val="none" w:sz="0" w:space="0" w:color="auto"/>
                      </w:divBdr>
                    </w:div>
                    <w:div w:id="1028724863">
                      <w:marLeft w:val="0"/>
                      <w:marRight w:val="0"/>
                      <w:marTop w:val="0"/>
                      <w:marBottom w:val="0"/>
                      <w:divBdr>
                        <w:top w:val="none" w:sz="0" w:space="0" w:color="auto"/>
                        <w:left w:val="none" w:sz="0" w:space="0" w:color="auto"/>
                        <w:bottom w:val="none" w:sz="0" w:space="0" w:color="auto"/>
                        <w:right w:val="none" w:sz="0" w:space="0" w:color="auto"/>
                      </w:divBdr>
                      <w:divsChild>
                        <w:div w:id="144662566">
                          <w:marLeft w:val="0"/>
                          <w:marRight w:val="0"/>
                          <w:marTop w:val="0"/>
                          <w:marBottom w:val="0"/>
                          <w:divBdr>
                            <w:top w:val="none" w:sz="0" w:space="0" w:color="auto"/>
                            <w:left w:val="none" w:sz="0" w:space="0" w:color="auto"/>
                            <w:bottom w:val="none" w:sz="0" w:space="0" w:color="auto"/>
                            <w:right w:val="none" w:sz="0" w:space="0" w:color="auto"/>
                          </w:divBdr>
                        </w:div>
                        <w:div w:id="1212113907">
                          <w:marLeft w:val="0"/>
                          <w:marRight w:val="0"/>
                          <w:marTop w:val="0"/>
                          <w:marBottom w:val="0"/>
                          <w:divBdr>
                            <w:top w:val="none" w:sz="0" w:space="0" w:color="auto"/>
                            <w:left w:val="none" w:sz="0" w:space="0" w:color="auto"/>
                            <w:bottom w:val="none" w:sz="0" w:space="0" w:color="auto"/>
                            <w:right w:val="none" w:sz="0" w:space="0" w:color="auto"/>
                          </w:divBdr>
                        </w:div>
                        <w:div w:id="72703931">
                          <w:marLeft w:val="0"/>
                          <w:marRight w:val="0"/>
                          <w:marTop w:val="0"/>
                          <w:marBottom w:val="0"/>
                          <w:divBdr>
                            <w:top w:val="none" w:sz="0" w:space="0" w:color="auto"/>
                            <w:left w:val="none" w:sz="0" w:space="0" w:color="auto"/>
                            <w:bottom w:val="none" w:sz="0" w:space="0" w:color="auto"/>
                            <w:right w:val="none" w:sz="0" w:space="0" w:color="auto"/>
                          </w:divBdr>
                        </w:div>
                      </w:divsChild>
                    </w:div>
                    <w:div w:id="977880465">
                      <w:marLeft w:val="0"/>
                      <w:marRight w:val="0"/>
                      <w:marTop w:val="0"/>
                      <w:marBottom w:val="0"/>
                      <w:divBdr>
                        <w:top w:val="none" w:sz="0" w:space="0" w:color="auto"/>
                        <w:left w:val="none" w:sz="0" w:space="0" w:color="auto"/>
                        <w:bottom w:val="none" w:sz="0" w:space="0" w:color="auto"/>
                        <w:right w:val="none" w:sz="0" w:space="0" w:color="auto"/>
                      </w:divBdr>
                      <w:divsChild>
                        <w:div w:id="109728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001505">
                  <w:marLeft w:val="0"/>
                  <w:marRight w:val="0"/>
                  <w:marTop w:val="0"/>
                  <w:marBottom w:val="0"/>
                  <w:divBdr>
                    <w:top w:val="none" w:sz="0" w:space="0" w:color="auto"/>
                    <w:left w:val="none" w:sz="0" w:space="0" w:color="auto"/>
                    <w:bottom w:val="none" w:sz="0" w:space="0" w:color="auto"/>
                    <w:right w:val="none" w:sz="0" w:space="0" w:color="auto"/>
                  </w:divBdr>
                  <w:divsChild>
                    <w:div w:id="155733605">
                      <w:marLeft w:val="0"/>
                      <w:marRight w:val="0"/>
                      <w:marTop w:val="0"/>
                      <w:marBottom w:val="0"/>
                      <w:divBdr>
                        <w:top w:val="none" w:sz="0" w:space="0" w:color="auto"/>
                        <w:left w:val="none" w:sz="0" w:space="0" w:color="auto"/>
                        <w:bottom w:val="none" w:sz="0" w:space="0" w:color="auto"/>
                        <w:right w:val="none" w:sz="0" w:space="0" w:color="auto"/>
                      </w:divBdr>
                    </w:div>
                    <w:div w:id="1348870109">
                      <w:marLeft w:val="0"/>
                      <w:marRight w:val="0"/>
                      <w:marTop w:val="0"/>
                      <w:marBottom w:val="0"/>
                      <w:divBdr>
                        <w:top w:val="none" w:sz="0" w:space="0" w:color="auto"/>
                        <w:left w:val="none" w:sz="0" w:space="0" w:color="auto"/>
                        <w:bottom w:val="none" w:sz="0" w:space="0" w:color="auto"/>
                        <w:right w:val="none" w:sz="0" w:space="0" w:color="auto"/>
                      </w:divBdr>
                      <w:divsChild>
                        <w:div w:id="105317321">
                          <w:marLeft w:val="0"/>
                          <w:marRight w:val="0"/>
                          <w:marTop w:val="0"/>
                          <w:marBottom w:val="0"/>
                          <w:divBdr>
                            <w:top w:val="none" w:sz="0" w:space="0" w:color="auto"/>
                            <w:left w:val="none" w:sz="0" w:space="0" w:color="auto"/>
                            <w:bottom w:val="none" w:sz="0" w:space="0" w:color="auto"/>
                            <w:right w:val="none" w:sz="0" w:space="0" w:color="auto"/>
                          </w:divBdr>
                        </w:div>
                      </w:divsChild>
                    </w:div>
                    <w:div w:id="448472668">
                      <w:marLeft w:val="0"/>
                      <w:marRight w:val="0"/>
                      <w:marTop w:val="0"/>
                      <w:marBottom w:val="0"/>
                      <w:divBdr>
                        <w:top w:val="none" w:sz="0" w:space="0" w:color="auto"/>
                        <w:left w:val="none" w:sz="0" w:space="0" w:color="auto"/>
                        <w:bottom w:val="none" w:sz="0" w:space="0" w:color="auto"/>
                        <w:right w:val="none" w:sz="0" w:space="0" w:color="auto"/>
                      </w:divBdr>
                      <w:divsChild>
                        <w:div w:id="1958872442">
                          <w:marLeft w:val="0"/>
                          <w:marRight w:val="0"/>
                          <w:marTop w:val="0"/>
                          <w:marBottom w:val="0"/>
                          <w:divBdr>
                            <w:top w:val="none" w:sz="0" w:space="0" w:color="auto"/>
                            <w:left w:val="none" w:sz="0" w:space="0" w:color="auto"/>
                            <w:bottom w:val="none" w:sz="0" w:space="0" w:color="auto"/>
                            <w:right w:val="none" w:sz="0" w:space="0" w:color="auto"/>
                          </w:divBdr>
                        </w:div>
                      </w:divsChild>
                    </w:div>
                    <w:div w:id="1524637532">
                      <w:marLeft w:val="0"/>
                      <w:marRight w:val="0"/>
                      <w:marTop w:val="0"/>
                      <w:marBottom w:val="0"/>
                      <w:divBdr>
                        <w:top w:val="none" w:sz="0" w:space="0" w:color="auto"/>
                        <w:left w:val="none" w:sz="0" w:space="0" w:color="auto"/>
                        <w:bottom w:val="none" w:sz="0" w:space="0" w:color="auto"/>
                        <w:right w:val="none" w:sz="0" w:space="0" w:color="auto"/>
                      </w:divBdr>
                      <w:divsChild>
                        <w:div w:id="476413600">
                          <w:marLeft w:val="0"/>
                          <w:marRight w:val="0"/>
                          <w:marTop w:val="0"/>
                          <w:marBottom w:val="0"/>
                          <w:divBdr>
                            <w:top w:val="none" w:sz="0" w:space="0" w:color="auto"/>
                            <w:left w:val="none" w:sz="0" w:space="0" w:color="auto"/>
                            <w:bottom w:val="none" w:sz="0" w:space="0" w:color="auto"/>
                            <w:right w:val="none" w:sz="0" w:space="0" w:color="auto"/>
                          </w:divBdr>
                        </w:div>
                      </w:divsChild>
                    </w:div>
                    <w:div w:id="1694960261">
                      <w:marLeft w:val="0"/>
                      <w:marRight w:val="0"/>
                      <w:marTop w:val="0"/>
                      <w:marBottom w:val="0"/>
                      <w:divBdr>
                        <w:top w:val="none" w:sz="0" w:space="0" w:color="auto"/>
                        <w:left w:val="none" w:sz="0" w:space="0" w:color="auto"/>
                        <w:bottom w:val="none" w:sz="0" w:space="0" w:color="auto"/>
                        <w:right w:val="none" w:sz="0" w:space="0" w:color="auto"/>
                      </w:divBdr>
                      <w:divsChild>
                        <w:div w:id="544487519">
                          <w:marLeft w:val="0"/>
                          <w:marRight w:val="0"/>
                          <w:marTop w:val="0"/>
                          <w:marBottom w:val="0"/>
                          <w:divBdr>
                            <w:top w:val="none" w:sz="0" w:space="0" w:color="auto"/>
                            <w:left w:val="none" w:sz="0" w:space="0" w:color="auto"/>
                            <w:bottom w:val="none" w:sz="0" w:space="0" w:color="auto"/>
                            <w:right w:val="none" w:sz="0" w:space="0" w:color="auto"/>
                          </w:divBdr>
                        </w:div>
                        <w:div w:id="558976959">
                          <w:marLeft w:val="0"/>
                          <w:marRight w:val="0"/>
                          <w:marTop w:val="0"/>
                          <w:marBottom w:val="0"/>
                          <w:divBdr>
                            <w:top w:val="none" w:sz="0" w:space="0" w:color="auto"/>
                            <w:left w:val="none" w:sz="0" w:space="0" w:color="auto"/>
                            <w:bottom w:val="none" w:sz="0" w:space="0" w:color="auto"/>
                            <w:right w:val="none" w:sz="0" w:space="0" w:color="auto"/>
                          </w:divBdr>
                        </w:div>
                      </w:divsChild>
                    </w:div>
                    <w:div w:id="559024585">
                      <w:marLeft w:val="0"/>
                      <w:marRight w:val="0"/>
                      <w:marTop w:val="0"/>
                      <w:marBottom w:val="0"/>
                      <w:divBdr>
                        <w:top w:val="none" w:sz="0" w:space="0" w:color="auto"/>
                        <w:left w:val="none" w:sz="0" w:space="0" w:color="auto"/>
                        <w:bottom w:val="none" w:sz="0" w:space="0" w:color="auto"/>
                        <w:right w:val="none" w:sz="0" w:space="0" w:color="auto"/>
                      </w:divBdr>
                      <w:divsChild>
                        <w:div w:id="444156152">
                          <w:marLeft w:val="0"/>
                          <w:marRight w:val="0"/>
                          <w:marTop w:val="0"/>
                          <w:marBottom w:val="0"/>
                          <w:divBdr>
                            <w:top w:val="none" w:sz="0" w:space="0" w:color="auto"/>
                            <w:left w:val="none" w:sz="0" w:space="0" w:color="auto"/>
                            <w:bottom w:val="none" w:sz="0" w:space="0" w:color="auto"/>
                            <w:right w:val="none" w:sz="0" w:space="0" w:color="auto"/>
                          </w:divBdr>
                        </w:div>
                        <w:div w:id="1991709755">
                          <w:marLeft w:val="0"/>
                          <w:marRight w:val="0"/>
                          <w:marTop w:val="0"/>
                          <w:marBottom w:val="0"/>
                          <w:divBdr>
                            <w:top w:val="none" w:sz="0" w:space="0" w:color="auto"/>
                            <w:left w:val="none" w:sz="0" w:space="0" w:color="auto"/>
                            <w:bottom w:val="none" w:sz="0" w:space="0" w:color="auto"/>
                            <w:right w:val="none" w:sz="0" w:space="0" w:color="auto"/>
                          </w:divBdr>
                        </w:div>
                      </w:divsChild>
                    </w:div>
                    <w:div w:id="571357129">
                      <w:marLeft w:val="0"/>
                      <w:marRight w:val="0"/>
                      <w:marTop w:val="0"/>
                      <w:marBottom w:val="0"/>
                      <w:divBdr>
                        <w:top w:val="none" w:sz="0" w:space="0" w:color="auto"/>
                        <w:left w:val="none" w:sz="0" w:space="0" w:color="auto"/>
                        <w:bottom w:val="none" w:sz="0" w:space="0" w:color="auto"/>
                        <w:right w:val="none" w:sz="0" w:space="0" w:color="auto"/>
                      </w:divBdr>
                      <w:divsChild>
                        <w:div w:id="1815444094">
                          <w:marLeft w:val="0"/>
                          <w:marRight w:val="0"/>
                          <w:marTop w:val="0"/>
                          <w:marBottom w:val="0"/>
                          <w:divBdr>
                            <w:top w:val="none" w:sz="0" w:space="0" w:color="auto"/>
                            <w:left w:val="none" w:sz="0" w:space="0" w:color="auto"/>
                            <w:bottom w:val="none" w:sz="0" w:space="0" w:color="auto"/>
                            <w:right w:val="none" w:sz="0" w:space="0" w:color="auto"/>
                          </w:divBdr>
                        </w:div>
                        <w:div w:id="1442263750">
                          <w:marLeft w:val="0"/>
                          <w:marRight w:val="0"/>
                          <w:marTop w:val="0"/>
                          <w:marBottom w:val="0"/>
                          <w:divBdr>
                            <w:top w:val="none" w:sz="0" w:space="0" w:color="auto"/>
                            <w:left w:val="none" w:sz="0" w:space="0" w:color="auto"/>
                            <w:bottom w:val="none" w:sz="0" w:space="0" w:color="auto"/>
                            <w:right w:val="none" w:sz="0" w:space="0" w:color="auto"/>
                          </w:divBdr>
                        </w:div>
                        <w:div w:id="1970164082">
                          <w:marLeft w:val="0"/>
                          <w:marRight w:val="0"/>
                          <w:marTop w:val="0"/>
                          <w:marBottom w:val="0"/>
                          <w:divBdr>
                            <w:top w:val="none" w:sz="0" w:space="0" w:color="auto"/>
                            <w:left w:val="none" w:sz="0" w:space="0" w:color="auto"/>
                            <w:bottom w:val="none" w:sz="0" w:space="0" w:color="auto"/>
                            <w:right w:val="none" w:sz="0" w:space="0" w:color="auto"/>
                          </w:divBdr>
                        </w:div>
                        <w:div w:id="592975543">
                          <w:marLeft w:val="0"/>
                          <w:marRight w:val="0"/>
                          <w:marTop w:val="0"/>
                          <w:marBottom w:val="0"/>
                          <w:divBdr>
                            <w:top w:val="none" w:sz="0" w:space="0" w:color="auto"/>
                            <w:left w:val="none" w:sz="0" w:space="0" w:color="auto"/>
                            <w:bottom w:val="none" w:sz="0" w:space="0" w:color="auto"/>
                            <w:right w:val="none" w:sz="0" w:space="0" w:color="auto"/>
                          </w:divBdr>
                        </w:div>
                        <w:div w:id="130638916">
                          <w:marLeft w:val="0"/>
                          <w:marRight w:val="0"/>
                          <w:marTop w:val="0"/>
                          <w:marBottom w:val="0"/>
                          <w:divBdr>
                            <w:top w:val="none" w:sz="0" w:space="0" w:color="auto"/>
                            <w:left w:val="none" w:sz="0" w:space="0" w:color="auto"/>
                            <w:bottom w:val="none" w:sz="0" w:space="0" w:color="auto"/>
                            <w:right w:val="none" w:sz="0" w:space="0" w:color="auto"/>
                          </w:divBdr>
                        </w:div>
                      </w:divsChild>
                    </w:div>
                    <w:div w:id="286815878">
                      <w:marLeft w:val="0"/>
                      <w:marRight w:val="0"/>
                      <w:marTop w:val="0"/>
                      <w:marBottom w:val="0"/>
                      <w:divBdr>
                        <w:top w:val="none" w:sz="0" w:space="0" w:color="auto"/>
                        <w:left w:val="none" w:sz="0" w:space="0" w:color="auto"/>
                        <w:bottom w:val="none" w:sz="0" w:space="0" w:color="auto"/>
                        <w:right w:val="none" w:sz="0" w:space="0" w:color="auto"/>
                      </w:divBdr>
                      <w:divsChild>
                        <w:div w:id="650867758">
                          <w:marLeft w:val="0"/>
                          <w:marRight w:val="0"/>
                          <w:marTop w:val="0"/>
                          <w:marBottom w:val="0"/>
                          <w:divBdr>
                            <w:top w:val="none" w:sz="0" w:space="0" w:color="auto"/>
                            <w:left w:val="none" w:sz="0" w:space="0" w:color="auto"/>
                            <w:bottom w:val="none" w:sz="0" w:space="0" w:color="auto"/>
                            <w:right w:val="none" w:sz="0" w:space="0" w:color="auto"/>
                          </w:divBdr>
                        </w:div>
                      </w:divsChild>
                    </w:div>
                    <w:div w:id="1076517784">
                      <w:marLeft w:val="0"/>
                      <w:marRight w:val="0"/>
                      <w:marTop w:val="0"/>
                      <w:marBottom w:val="0"/>
                      <w:divBdr>
                        <w:top w:val="none" w:sz="0" w:space="0" w:color="auto"/>
                        <w:left w:val="none" w:sz="0" w:space="0" w:color="auto"/>
                        <w:bottom w:val="none" w:sz="0" w:space="0" w:color="auto"/>
                        <w:right w:val="none" w:sz="0" w:space="0" w:color="auto"/>
                      </w:divBdr>
                      <w:divsChild>
                        <w:div w:id="478498180">
                          <w:marLeft w:val="0"/>
                          <w:marRight w:val="0"/>
                          <w:marTop w:val="0"/>
                          <w:marBottom w:val="0"/>
                          <w:divBdr>
                            <w:top w:val="none" w:sz="0" w:space="0" w:color="auto"/>
                            <w:left w:val="none" w:sz="0" w:space="0" w:color="auto"/>
                            <w:bottom w:val="none" w:sz="0" w:space="0" w:color="auto"/>
                            <w:right w:val="none" w:sz="0" w:space="0" w:color="auto"/>
                          </w:divBdr>
                        </w:div>
                        <w:div w:id="354230936">
                          <w:marLeft w:val="0"/>
                          <w:marRight w:val="0"/>
                          <w:marTop w:val="0"/>
                          <w:marBottom w:val="0"/>
                          <w:divBdr>
                            <w:top w:val="none" w:sz="0" w:space="0" w:color="auto"/>
                            <w:left w:val="none" w:sz="0" w:space="0" w:color="auto"/>
                            <w:bottom w:val="none" w:sz="0" w:space="0" w:color="auto"/>
                            <w:right w:val="none" w:sz="0" w:space="0" w:color="auto"/>
                          </w:divBdr>
                        </w:div>
                        <w:div w:id="591207503">
                          <w:marLeft w:val="0"/>
                          <w:marRight w:val="0"/>
                          <w:marTop w:val="0"/>
                          <w:marBottom w:val="0"/>
                          <w:divBdr>
                            <w:top w:val="none" w:sz="0" w:space="0" w:color="auto"/>
                            <w:left w:val="none" w:sz="0" w:space="0" w:color="auto"/>
                            <w:bottom w:val="none" w:sz="0" w:space="0" w:color="auto"/>
                            <w:right w:val="none" w:sz="0" w:space="0" w:color="auto"/>
                          </w:divBdr>
                        </w:div>
                        <w:div w:id="1344894265">
                          <w:marLeft w:val="0"/>
                          <w:marRight w:val="0"/>
                          <w:marTop w:val="0"/>
                          <w:marBottom w:val="0"/>
                          <w:divBdr>
                            <w:top w:val="none" w:sz="0" w:space="0" w:color="auto"/>
                            <w:left w:val="none" w:sz="0" w:space="0" w:color="auto"/>
                            <w:bottom w:val="none" w:sz="0" w:space="0" w:color="auto"/>
                            <w:right w:val="none" w:sz="0" w:space="0" w:color="auto"/>
                          </w:divBdr>
                        </w:div>
                        <w:div w:id="1184394576">
                          <w:marLeft w:val="0"/>
                          <w:marRight w:val="0"/>
                          <w:marTop w:val="0"/>
                          <w:marBottom w:val="0"/>
                          <w:divBdr>
                            <w:top w:val="none" w:sz="0" w:space="0" w:color="auto"/>
                            <w:left w:val="none" w:sz="0" w:space="0" w:color="auto"/>
                            <w:bottom w:val="none" w:sz="0" w:space="0" w:color="auto"/>
                            <w:right w:val="none" w:sz="0" w:space="0" w:color="auto"/>
                          </w:divBdr>
                        </w:div>
                        <w:div w:id="1351253150">
                          <w:marLeft w:val="0"/>
                          <w:marRight w:val="0"/>
                          <w:marTop w:val="0"/>
                          <w:marBottom w:val="0"/>
                          <w:divBdr>
                            <w:top w:val="none" w:sz="0" w:space="0" w:color="auto"/>
                            <w:left w:val="none" w:sz="0" w:space="0" w:color="auto"/>
                            <w:bottom w:val="none" w:sz="0" w:space="0" w:color="auto"/>
                            <w:right w:val="none" w:sz="0" w:space="0" w:color="auto"/>
                          </w:divBdr>
                        </w:div>
                        <w:div w:id="1746220981">
                          <w:marLeft w:val="0"/>
                          <w:marRight w:val="0"/>
                          <w:marTop w:val="0"/>
                          <w:marBottom w:val="0"/>
                          <w:divBdr>
                            <w:top w:val="none" w:sz="0" w:space="0" w:color="auto"/>
                            <w:left w:val="none" w:sz="0" w:space="0" w:color="auto"/>
                            <w:bottom w:val="none" w:sz="0" w:space="0" w:color="auto"/>
                            <w:right w:val="none" w:sz="0" w:space="0" w:color="auto"/>
                          </w:divBdr>
                        </w:div>
                      </w:divsChild>
                    </w:div>
                    <w:div w:id="573200984">
                      <w:marLeft w:val="0"/>
                      <w:marRight w:val="0"/>
                      <w:marTop w:val="0"/>
                      <w:marBottom w:val="0"/>
                      <w:divBdr>
                        <w:top w:val="none" w:sz="0" w:space="0" w:color="auto"/>
                        <w:left w:val="none" w:sz="0" w:space="0" w:color="auto"/>
                        <w:bottom w:val="none" w:sz="0" w:space="0" w:color="auto"/>
                        <w:right w:val="none" w:sz="0" w:space="0" w:color="auto"/>
                      </w:divBdr>
                      <w:divsChild>
                        <w:div w:id="1900899798">
                          <w:marLeft w:val="0"/>
                          <w:marRight w:val="0"/>
                          <w:marTop w:val="0"/>
                          <w:marBottom w:val="0"/>
                          <w:divBdr>
                            <w:top w:val="none" w:sz="0" w:space="0" w:color="auto"/>
                            <w:left w:val="none" w:sz="0" w:space="0" w:color="auto"/>
                            <w:bottom w:val="none" w:sz="0" w:space="0" w:color="auto"/>
                            <w:right w:val="none" w:sz="0" w:space="0" w:color="auto"/>
                          </w:divBdr>
                        </w:div>
                        <w:div w:id="1467509867">
                          <w:marLeft w:val="0"/>
                          <w:marRight w:val="0"/>
                          <w:marTop w:val="0"/>
                          <w:marBottom w:val="0"/>
                          <w:divBdr>
                            <w:top w:val="none" w:sz="0" w:space="0" w:color="auto"/>
                            <w:left w:val="none" w:sz="0" w:space="0" w:color="auto"/>
                            <w:bottom w:val="none" w:sz="0" w:space="0" w:color="auto"/>
                            <w:right w:val="none" w:sz="0" w:space="0" w:color="auto"/>
                          </w:divBdr>
                        </w:div>
                        <w:div w:id="1724404286">
                          <w:marLeft w:val="0"/>
                          <w:marRight w:val="0"/>
                          <w:marTop w:val="0"/>
                          <w:marBottom w:val="0"/>
                          <w:divBdr>
                            <w:top w:val="none" w:sz="0" w:space="0" w:color="auto"/>
                            <w:left w:val="none" w:sz="0" w:space="0" w:color="auto"/>
                            <w:bottom w:val="none" w:sz="0" w:space="0" w:color="auto"/>
                            <w:right w:val="none" w:sz="0" w:space="0" w:color="auto"/>
                          </w:divBdr>
                        </w:div>
                        <w:div w:id="700669218">
                          <w:marLeft w:val="0"/>
                          <w:marRight w:val="0"/>
                          <w:marTop w:val="0"/>
                          <w:marBottom w:val="0"/>
                          <w:divBdr>
                            <w:top w:val="none" w:sz="0" w:space="0" w:color="auto"/>
                            <w:left w:val="none" w:sz="0" w:space="0" w:color="auto"/>
                            <w:bottom w:val="none" w:sz="0" w:space="0" w:color="auto"/>
                            <w:right w:val="none" w:sz="0" w:space="0" w:color="auto"/>
                          </w:divBdr>
                        </w:div>
                        <w:div w:id="1986933317">
                          <w:marLeft w:val="0"/>
                          <w:marRight w:val="0"/>
                          <w:marTop w:val="0"/>
                          <w:marBottom w:val="0"/>
                          <w:divBdr>
                            <w:top w:val="none" w:sz="0" w:space="0" w:color="auto"/>
                            <w:left w:val="none" w:sz="0" w:space="0" w:color="auto"/>
                            <w:bottom w:val="none" w:sz="0" w:space="0" w:color="auto"/>
                            <w:right w:val="none" w:sz="0" w:space="0" w:color="auto"/>
                          </w:divBdr>
                        </w:div>
                        <w:div w:id="490176256">
                          <w:marLeft w:val="0"/>
                          <w:marRight w:val="0"/>
                          <w:marTop w:val="0"/>
                          <w:marBottom w:val="0"/>
                          <w:divBdr>
                            <w:top w:val="none" w:sz="0" w:space="0" w:color="auto"/>
                            <w:left w:val="none" w:sz="0" w:space="0" w:color="auto"/>
                            <w:bottom w:val="none" w:sz="0" w:space="0" w:color="auto"/>
                            <w:right w:val="none" w:sz="0" w:space="0" w:color="auto"/>
                          </w:divBdr>
                        </w:div>
                        <w:div w:id="1076319796">
                          <w:marLeft w:val="0"/>
                          <w:marRight w:val="0"/>
                          <w:marTop w:val="0"/>
                          <w:marBottom w:val="0"/>
                          <w:divBdr>
                            <w:top w:val="none" w:sz="0" w:space="0" w:color="auto"/>
                            <w:left w:val="none" w:sz="0" w:space="0" w:color="auto"/>
                            <w:bottom w:val="none" w:sz="0" w:space="0" w:color="auto"/>
                            <w:right w:val="none" w:sz="0" w:space="0" w:color="auto"/>
                          </w:divBdr>
                        </w:div>
                      </w:divsChild>
                    </w:div>
                    <w:div w:id="1619069204">
                      <w:marLeft w:val="0"/>
                      <w:marRight w:val="0"/>
                      <w:marTop w:val="0"/>
                      <w:marBottom w:val="0"/>
                      <w:divBdr>
                        <w:top w:val="none" w:sz="0" w:space="0" w:color="auto"/>
                        <w:left w:val="none" w:sz="0" w:space="0" w:color="auto"/>
                        <w:bottom w:val="none" w:sz="0" w:space="0" w:color="auto"/>
                        <w:right w:val="none" w:sz="0" w:space="0" w:color="auto"/>
                      </w:divBdr>
                      <w:divsChild>
                        <w:div w:id="203761132">
                          <w:marLeft w:val="0"/>
                          <w:marRight w:val="0"/>
                          <w:marTop w:val="0"/>
                          <w:marBottom w:val="0"/>
                          <w:divBdr>
                            <w:top w:val="none" w:sz="0" w:space="0" w:color="auto"/>
                            <w:left w:val="none" w:sz="0" w:space="0" w:color="auto"/>
                            <w:bottom w:val="none" w:sz="0" w:space="0" w:color="auto"/>
                            <w:right w:val="none" w:sz="0" w:space="0" w:color="auto"/>
                          </w:divBdr>
                        </w:div>
                        <w:div w:id="735665844">
                          <w:marLeft w:val="0"/>
                          <w:marRight w:val="0"/>
                          <w:marTop w:val="0"/>
                          <w:marBottom w:val="0"/>
                          <w:divBdr>
                            <w:top w:val="none" w:sz="0" w:space="0" w:color="auto"/>
                            <w:left w:val="none" w:sz="0" w:space="0" w:color="auto"/>
                            <w:bottom w:val="none" w:sz="0" w:space="0" w:color="auto"/>
                            <w:right w:val="none" w:sz="0" w:space="0" w:color="auto"/>
                          </w:divBdr>
                        </w:div>
                        <w:div w:id="71127174">
                          <w:marLeft w:val="0"/>
                          <w:marRight w:val="0"/>
                          <w:marTop w:val="0"/>
                          <w:marBottom w:val="0"/>
                          <w:divBdr>
                            <w:top w:val="none" w:sz="0" w:space="0" w:color="auto"/>
                            <w:left w:val="none" w:sz="0" w:space="0" w:color="auto"/>
                            <w:bottom w:val="none" w:sz="0" w:space="0" w:color="auto"/>
                            <w:right w:val="none" w:sz="0" w:space="0" w:color="auto"/>
                          </w:divBdr>
                        </w:div>
                        <w:div w:id="1215851946">
                          <w:marLeft w:val="0"/>
                          <w:marRight w:val="0"/>
                          <w:marTop w:val="0"/>
                          <w:marBottom w:val="0"/>
                          <w:divBdr>
                            <w:top w:val="none" w:sz="0" w:space="0" w:color="auto"/>
                            <w:left w:val="none" w:sz="0" w:space="0" w:color="auto"/>
                            <w:bottom w:val="none" w:sz="0" w:space="0" w:color="auto"/>
                            <w:right w:val="none" w:sz="0" w:space="0" w:color="auto"/>
                          </w:divBdr>
                        </w:div>
                        <w:div w:id="1055466783">
                          <w:marLeft w:val="0"/>
                          <w:marRight w:val="0"/>
                          <w:marTop w:val="0"/>
                          <w:marBottom w:val="0"/>
                          <w:divBdr>
                            <w:top w:val="none" w:sz="0" w:space="0" w:color="auto"/>
                            <w:left w:val="none" w:sz="0" w:space="0" w:color="auto"/>
                            <w:bottom w:val="none" w:sz="0" w:space="0" w:color="auto"/>
                            <w:right w:val="none" w:sz="0" w:space="0" w:color="auto"/>
                          </w:divBdr>
                        </w:div>
                        <w:div w:id="706177447">
                          <w:marLeft w:val="0"/>
                          <w:marRight w:val="0"/>
                          <w:marTop w:val="0"/>
                          <w:marBottom w:val="0"/>
                          <w:divBdr>
                            <w:top w:val="none" w:sz="0" w:space="0" w:color="auto"/>
                            <w:left w:val="none" w:sz="0" w:space="0" w:color="auto"/>
                            <w:bottom w:val="none" w:sz="0" w:space="0" w:color="auto"/>
                            <w:right w:val="none" w:sz="0" w:space="0" w:color="auto"/>
                          </w:divBdr>
                        </w:div>
                      </w:divsChild>
                    </w:div>
                    <w:div w:id="985472247">
                      <w:marLeft w:val="0"/>
                      <w:marRight w:val="0"/>
                      <w:marTop w:val="0"/>
                      <w:marBottom w:val="0"/>
                      <w:divBdr>
                        <w:top w:val="none" w:sz="0" w:space="0" w:color="auto"/>
                        <w:left w:val="none" w:sz="0" w:space="0" w:color="auto"/>
                        <w:bottom w:val="none" w:sz="0" w:space="0" w:color="auto"/>
                        <w:right w:val="none" w:sz="0" w:space="0" w:color="auto"/>
                      </w:divBdr>
                      <w:divsChild>
                        <w:div w:id="1194270829">
                          <w:marLeft w:val="0"/>
                          <w:marRight w:val="0"/>
                          <w:marTop w:val="0"/>
                          <w:marBottom w:val="0"/>
                          <w:divBdr>
                            <w:top w:val="none" w:sz="0" w:space="0" w:color="auto"/>
                            <w:left w:val="none" w:sz="0" w:space="0" w:color="auto"/>
                            <w:bottom w:val="none" w:sz="0" w:space="0" w:color="auto"/>
                            <w:right w:val="none" w:sz="0" w:space="0" w:color="auto"/>
                          </w:divBdr>
                        </w:div>
                        <w:div w:id="219050623">
                          <w:marLeft w:val="0"/>
                          <w:marRight w:val="0"/>
                          <w:marTop w:val="0"/>
                          <w:marBottom w:val="0"/>
                          <w:divBdr>
                            <w:top w:val="none" w:sz="0" w:space="0" w:color="auto"/>
                            <w:left w:val="none" w:sz="0" w:space="0" w:color="auto"/>
                            <w:bottom w:val="none" w:sz="0" w:space="0" w:color="auto"/>
                            <w:right w:val="none" w:sz="0" w:space="0" w:color="auto"/>
                          </w:divBdr>
                        </w:div>
                        <w:div w:id="1661419238">
                          <w:marLeft w:val="0"/>
                          <w:marRight w:val="0"/>
                          <w:marTop w:val="0"/>
                          <w:marBottom w:val="0"/>
                          <w:divBdr>
                            <w:top w:val="none" w:sz="0" w:space="0" w:color="auto"/>
                            <w:left w:val="none" w:sz="0" w:space="0" w:color="auto"/>
                            <w:bottom w:val="none" w:sz="0" w:space="0" w:color="auto"/>
                            <w:right w:val="none" w:sz="0" w:space="0" w:color="auto"/>
                          </w:divBdr>
                        </w:div>
                        <w:div w:id="430053546">
                          <w:marLeft w:val="0"/>
                          <w:marRight w:val="0"/>
                          <w:marTop w:val="0"/>
                          <w:marBottom w:val="0"/>
                          <w:divBdr>
                            <w:top w:val="none" w:sz="0" w:space="0" w:color="auto"/>
                            <w:left w:val="none" w:sz="0" w:space="0" w:color="auto"/>
                            <w:bottom w:val="none" w:sz="0" w:space="0" w:color="auto"/>
                            <w:right w:val="none" w:sz="0" w:space="0" w:color="auto"/>
                          </w:divBdr>
                        </w:div>
                        <w:div w:id="1228807976">
                          <w:marLeft w:val="0"/>
                          <w:marRight w:val="0"/>
                          <w:marTop w:val="0"/>
                          <w:marBottom w:val="0"/>
                          <w:divBdr>
                            <w:top w:val="none" w:sz="0" w:space="0" w:color="auto"/>
                            <w:left w:val="none" w:sz="0" w:space="0" w:color="auto"/>
                            <w:bottom w:val="none" w:sz="0" w:space="0" w:color="auto"/>
                            <w:right w:val="none" w:sz="0" w:space="0" w:color="auto"/>
                          </w:divBdr>
                        </w:div>
                        <w:div w:id="1283533842">
                          <w:marLeft w:val="0"/>
                          <w:marRight w:val="0"/>
                          <w:marTop w:val="0"/>
                          <w:marBottom w:val="0"/>
                          <w:divBdr>
                            <w:top w:val="none" w:sz="0" w:space="0" w:color="auto"/>
                            <w:left w:val="none" w:sz="0" w:space="0" w:color="auto"/>
                            <w:bottom w:val="none" w:sz="0" w:space="0" w:color="auto"/>
                            <w:right w:val="none" w:sz="0" w:space="0" w:color="auto"/>
                          </w:divBdr>
                        </w:div>
                      </w:divsChild>
                    </w:div>
                    <w:div w:id="216402823">
                      <w:marLeft w:val="0"/>
                      <w:marRight w:val="0"/>
                      <w:marTop w:val="0"/>
                      <w:marBottom w:val="0"/>
                      <w:divBdr>
                        <w:top w:val="none" w:sz="0" w:space="0" w:color="auto"/>
                        <w:left w:val="none" w:sz="0" w:space="0" w:color="auto"/>
                        <w:bottom w:val="none" w:sz="0" w:space="0" w:color="auto"/>
                        <w:right w:val="none" w:sz="0" w:space="0" w:color="auto"/>
                      </w:divBdr>
                      <w:divsChild>
                        <w:div w:id="952711951">
                          <w:marLeft w:val="0"/>
                          <w:marRight w:val="0"/>
                          <w:marTop w:val="0"/>
                          <w:marBottom w:val="0"/>
                          <w:divBdr>
                            <w:top w:val="none" w:sz="0" w:space="0" w:color="auto"/>
                            <w:left w:val="none" w:sz="0" w:space="0" w:color="auto"/>
                            <w:bottom w:val="none" w:sz="0" w:space="0" w:color="auto"/>
                            <w:right w:val="none" w:sz="0" w:space="0" w:color="auto"/>
                          </w:divBdr>
                        </w:div>
                        <w:div w:id="1235042607">
                          <w:marLeft w:val="0"/>
                          <w:marRight w:val="0"/>
                          <w:marTop w:val="0"/>
                          <w:marBottom w:val="0"/>
                          <w:divBdr>
                            <w:top w:val="none" w:sz="0" w:space="0" w:color="auto"/>
                            <w:left w:val="none" w:sz="0" w:space="0" w:color="auto"/>
                            <w:bottom w:val="none" w:sz="0" w:space="0" w:color="auto"/>
                            <w:right w:val="none" w:sz="0" w:space="0" w:color="auto"/>
                          </w:divBdr>
                        </w:div>
                        <w:div w:id="1639022312">
                          <w:marLeft w:val="0"/>
                          <w:marRight w:val="0"/>
                          <w:marTop w:val="0"/>
                          <w:marBottom w:val="0"/>
                          <w:divBdr>
                            <w:top w:val="none" w:sz="0" w:space="0" w:color="auto"/>
                            <w:left w:val="none" w:sz="0" w:space="0" w:color="auto"/>
                            <w:bottom w:val="none" w:sz="0" w:space="0" w:color="auto"/>
                            <w:right w:val="none" w:sz="0" w:space="0" w:color="auto"/>
                          </w:divBdr>
                        </w:div>
                        <w:div w:id="1074350850">
                          <w:marLeft w:val="0"/>
                          <w:marRight w:val="0"/>
                          <w:marTop w:val="0"/>
                          <w:marBottom w:val="0"/>
                          <w:divBdr>
                            <w:top w:val="none" w:sz="0" w:space="0" w:color="auto"/>
                            <w:left w:val="none" w:sz="0" w:space="0" w:color="auto"/>
                            <w:bottom w:val="none" w:sz="0" w:space="0" w:color="auto"/>
                            <w:right w:val="none" w:sz="0" w:space="0" w:color="auto"/>
                          </w:divBdr>
                        </w:div>
                        <w:div w:id="932737389">
                          <w:marLeft w:val="0"/>
                          <w:marRight w:val="0"/>
                          <w:marTop w:val="0"/>
                          <w:marBottom w:val="0"/>
                          <w:divBdr>
                            <w:top w:val="none" w:sz="0" w:space="0" w:color="auto"/>
                            <w:left w:val="none" w:sz="0" w:space="0" w:color="auto"/>
                            <w:bottom w:val="none" w:sz="0" w:space="0" w:color="auto"/>
                            <w:right w:val="none" w:sz="0" w:space="0" w:color="auto"/>
                          </w:divBdr>
                        </w:div>
                        <w:div w:id="70734847">
                          <w:marLeft w:val="0"/>
                          <w:marRight w:val="0"/>
                          <w:marTop w:val="0"/>
                          <w:marBottom w:val="0"/>
                          <w:divBdr>
                            <w:top w:val="none" w:sz="0" w:space="0" w:color="auto"/>
                            <w:left w:val="none" w:sz="0" w:space="0" w:color="auto"/>
                            <w:bottom w:val="none" w:sz="0" w:space="0" w:color="auto"/>
                            <w:right w:val="none" w:sz="0" w:space="0" w:color="auto"/>
                          </w:divBdr>
                        </w:div>
                      </w:divsChild>
                    </w:div>
                    <w:div w:id="457572929">
                      <w:marLeft w:val="0"/>
                      <w:marRight w:val="0"/>
                      <w:marTop w:val="0"/>
                      <w:marBottom w:val="0"/>
                      <w:divBdr>
                        <w:top w:val="none" w:sz="0" w:space="0" w:color="auto"/>
                        <w:left w:val="none" w:sz="0" w:space="0" w:color="auto"/>
                        <w:bottom w:val="none" w:sz="0" w:space="0" w:color="auto"/>
                        <w:right w:val="none" w:sz="0" w:space="0" w:color="auto"/>
                      </w:divBdr>
                      <w:divsChild>
                        <w:div w:id="872156966">
                          <w:marLeft w:val="0"/>
                          <w:marRight w:val="0"/>
                          <w:marTop w:val="0"/>
                          <w:marBottom w:val="0"/>
                          <w:divBdr>
                            <w:top w:val="none" w:sz="0" w:space="0" w:color="auto"/>
                            <w:left w:val="none" w:sz="0" w:space="0" w:color="auto"/>
                            <w:bottom w:val="none" w:sz="0" w:space="0" w:color="auto"/>
                            <w:right w:val="none" w:sz="0" w:space="0" w:color="auto"/>
                          </w:divBdr>
                        </w:div>
                        <w:div w:id="1986933938">
                          <w:marLeft w:val="0"/>
                          <w:marRight w:val="0"/>
                          <w:marTop w:val="0"/>
                          <w:marBottom w:val="0"/>
                          <w:divBdr>
                            <w:top w:val="none" w:sz="0" w:space="0" w:color="auto"/>
                            <w:left w:val="none" w:sz="0" w:space="0" w:color="auto"/>
                            <w:bottom w:val="none" w:sz="0" w:space="0" w:color="auto"/>
                            <w:right w:val="none" w:sz="0" w:space="0" w:color="auto"/>
                          </w:divBdr>
                        </w:div>
                        <w:div w:id="191845966">
                          <w:marLeft w:val="0"/>
                          <w:marRight w:val="0"/>
                          <w:marTop w:val="0"/>
                          <w:marBottom w:val="0"/>
                          <w:divBdr>
                            <w:top w:val="none" w:sz="0" w:space="0" w:color="auto"/>
                            <w:left w:val="none" w:sz="0" w:space="0" w:color="auto"/>
                            <w:bottom w:val="none" w:sz="0" w:space="0" w:color="auto"/>
                            <w:right w:val="none" w:sz="0" w:space="0" w:color="auto"/>
                          </w:divBdr>
                        </w:div>
                        <w:div w:id="280767115">
                          <w:marLeft w:val="0"/>
                          <w:marRight w:val="0"/>
                          <w:marTop w:val="0"/>
                          <w:marBottom w:val="0"/>
                          <w:divBdr>
                            <w:top w:val="none" w:sz="0" w:space="0" w:color="auto"/>
                            <w:left w:val="none" w:sz="0" w:space="0" w:color="auto"/>
                            <w:bottom w:val="none" w:sz="0" w:space="0" w:color="auto"/>
                            <w:right w:val="none" w:sz="0" w:space="0" w:color="auto"/>
                          </w:divBdr>
                        </w:div>
                        <w:div w:id="607351338">
                          <w:marLeft w:val="0"/>
                          <w:marRight w:val="0"/>
                          <w:marTop w:val="0"/>
                          <w:marBottom w:val="0"/>
                          <w:divBdr>
                            <w:top w:val="none" w:sz="0" w:space="0" w:color="auto"/>
                            <w:left w:val="none" w:sz="0" w:space="0" w:color="auto"/>
                            <w:bottom w:val="none" w:sz="0" w:space="0" w:color="auto"/>
                            <w:right w:val="none" w:sz="0" w:space="0" w:color="auto"/>
                          </w:divBdr>
                        </w:div>
                        <w:div w:id="1484203211">
                          <w:marLeft w:val="0"/>
                          <w:marRight w:val="0"/>
                          <w:marTop w:val="0"/>
                          <w:marBottom w:val="0"/>
                          <w:divBdr>
                            <w:top w:val="none" w:sz="0" w:space="0" w:color="auto"/>
                            <w:left w:val="none" w:sz="0" w:space="0" w:color="auto"/>
                            <w:bottom w:val="none" w:sz="0" w:space="0" w:color="auto"/>
                            <w:right w:val="none" w:sz="0" w:space="0" w:color="auto"/>
                          </w:divBdr>
                        </w:div>
                      </w:divsChild>
                    </w:div>
                    <w:div w:id="1812673864">
                      <w:marLeft w:val="0"/>
                      <w:marRight w:val="0"/>
                      <w:marTop w:val="0"/>
                      <w:marBottom w:val="0"/>
                      <w:divBdr>
                        <w:top w:val="none" w:sz="0" w:space="0" w:color="auto"/>
                        <w:left w:val="none" w:sz="0" w:space="0" w:color="auto"/>
                        <w:bottom w:val="none" w:sz="0" w:space="0" w:color="auto"/>
                        <w:right w:val="none" w:sz="0" w:space="0" w:color="auto"/>
                      </w:divBdr>
                      <w:divsChild>
                        <w:div w:id="288559432">
                          <w:marLeft w:val="0"/>
                          <w:marRight w:val="0"/>
                          <w:marTop w:val="0"/>
                          <w:marBottom w:val="0"/>
                          <w:divBdr>
                            <w:top w:val="none" w:sz="0" w:space="0" w:color="auto"/>
                            <w:left w:val="none" w:sz="0" w:space="0" w:color="auto"/>
                            <w:bottom w:val="none" w:sz="0" w:space="0" w:color="auto"/>
                            <w:right w:val="none" w:sz="0" w:space="0" w:color="auto"/>
                          </w:divBdr>
                        </w:div>
                      </w:divsChild>
                    </w:div>
                    <w:div w:id="1733308745">
                      <w:marLeft w:val="0"/>
                      <w:marRight w:val="0"/>
                      <w:marTop w:val="0"/>
                      <w:marBottom w:val="0"/>
                      <w:divBdr>
                        <w:top w:val="none" w:sz="0" w:space="0" w:color="auto"/>
                        <w:left w:val="none" w:sz="0" w:space="0" w:color="auto"/>
                        <w:bottom w:val="none" w:sz="0" w:space="0" w:color="auto"/>
                        <w:right w:val="none" w:sz="0" w:space="0" w:color="auto"/>
                      </w:divBdr>
                      <w:divsChild>
                        <w:div w:id="468405616">
                          <w:marLeft w:val="0"/>
                          <w:marRight w:val="0"/>
                          <w:marTop w:val="0"/>
                          <w:marBottom w:val="0"/>
                          <w:divBdr>
                            <w:top w:val="none" w:sz="0" w:space="0" w:color="auto"/>
                            <w:left w:val="none" w:sz="0" w:space="0" w:color="auto"/>
                            <w:bottom w:val="none" w:sz="0" w:space="0" w:color="auto"/>
                            <w:right w:val="none" w:sz="0" w:space="0" w:color="auto"/>
                          </w:divBdr>
                        </w:div>
                        <w:div w:id="1542085728">
                          <w:marLeft w:val="0"/>
                          <w:marRight w:val="0"/>
                          <w:marTop w:val="0"/>
                          <w:marBottom w:val="0"/>
                          <w:divBdr>
                            <w:top w:val="none" w:sz="0" w:space="0" w:color="auto"/>
                            <w:left w:val="none" w:sz="0" w:space="0" w:color="auto"/>
                            <w:bottom w:val="none" w:sz="0" w:space="0" w:color="auto"/>
                            <w:right w:val="none" w:sz="0" w:space="0" w:color="auto"/>
                          </w:divBdr>
                        </w:div>
                        <w:div w:id="1804107274">
                          <w:marLeft w:val="0"/>
                          <w:marRight w:val="0"/>
                          <w:marTop w:val="0"/>
                          <w:marBottom w:val="0"/>
                          <w:divBdr>
                            <w:top w:val="none" w:sz="0" w:space="0" w:color="auto"/>
                            <w:left w:val="none" w:sz="0" w:space="0" w:color="auto"/>
                            <w:bottom w:val="none" w:sz="0" w:space="0" w:color="auto"/>
                            <w:right w:val="none" w:sz="0" w:space="0" w:color="auto"/>
                          </w:divBdr>
                        </w:div>
                      </w:divsChild>
                    </w:div>
                    <w:div w:id="1993287033">
                      <w:marLeft w:val="0"/>
                      <w:marRight w:val="0"/>
                      <w:marTop w:val="0"/>
                      <w:marBottom w:val="0"/>
                      <w:divBdr>
                        <w:top w:val="none" w:sz="0" w:space="0" w:color="auto"/>
                        <w:left w:val="none" w:sz="0" w:space="0" w:color="auto"/>
                        <w:bottom w:val="none" w:sz="0" w:space="0" w:color="auto"/>
                        <w:right w:val="none" w:sz="0" w:space="0" w:color="auto"/>
                      </w:divBdr>
                      <w:divsChild>
                        <w:div w:id="1178227701">
                          <w:marLeft w:val="0"/>
                          <w:marRight w:val="0"/>
                          <w:marTop w:val="0"/>
                          <w:marBottom w:val="0"/>
                          <w:divBdr>
                            <w:top w:val="none" w:sz="0" w:space="0" w:color="auto"/>
                            <w:left w:val="none" w:sz="0" w:space="0" w:color="auto"/>
                            <w:bottom w:val="none" w:sz="0" w:space="0" w:color="auto"/>
                            <w:right w:val="none" w:sz="0" w:space="0" w:color="auto"/>
                          </w:divBdr>
                        </w:div>
                        <w:div w:id="1934048039">
                          <w:marLeft w:val="0"/>
                          <w:marRight w:val="0"/>
                          <w:marTop w:val="0"/>
                          <w:marBottom w:val="0"/>
                          <w:divBdr>
                            <w:top w:val="none" w:sz="0" w:space="0" w:color="auto"/>
                            <w:left w:val="none" w:sz="0" w:space="0" w:color="auto"/>
                            <w:bottom w:val="none" w:sz="0" w:space="0" w:color="auto"/>
                            <w:right w:val="none" w:sz="0" w:space="0" w:color="auto"/>
                          </w:divBdr>
                        </w:div>
                        <w:div w:id="1542593901">
                          <w:marLeft w:val="0"/>
                          <w:marRight w:val="0"/>
                          <w:marTop w:val="0"/>
                          <w:marBottom w:val="0"/>
                          <w:divBdr>
                            <w:top w:val="none" w:sz="0" w:space="0" w:color="auto"/>
                            <w:left w:val="none" w:sz="0" w:space="0" w:color="auto"/>
                            <w:bottom w:val="none" w:sz="0" w:space="0" w:color="auto"/>
                            <w:right w:val="none" w:sz="0" w:space="0" w:color="auto"/>
                          </w:divBdr>
                        </w:div>
                      </w:divsChild>
                    </w:div>
                    <w:div w:id="1001616872">
                      <w:marLeft w:val="0"/>
                      <w:marRight w:val="0"/>
                      <w:marTop w:val="0"/>
                      <w:marBottom w:val="0"/>
                      <w:divBdr>
                        <w:top w:val="none" w:sz="0" w:space="0" w:color="auto"/>
                        <w:left w:val="none" w:sz="0" w:space="0" w:color="auto"/>
                        <w:bottom w:val="none" w:sz="0" w:space="0" w:color="auto"/>
                        <w:right w:val="none" w:sz="0" w:space="0" w:color="auto"/>
                      </w:divBdr>
                      <w:divsChild>
                        <w:div w:id="705449405">
                          <w:marLeft w:val="0"/>
                          <w:marRight w:val="0"/>
                          <w:marTop w:val="0"/>
                          <w:marBottom w:val="0"/>
                          <w:divBdr>
                            <w:top w:val="none" w:sz="0" w:space="0" w:color="auto"/>
                            <w:left w:val="none" w:sz="0" w:space="0" w:color="auto"/>
                            <w:bottom w:val="none" w:sz="0" w:space="0" w:color="auto"/>
                            <w:right w:val="none" w:sz="0" w:space="0" w:color="auto"/>
                          </w:divBdr>
                        </w:div>
                        <w:div w:id="660734861">
                          <w:marLeft w:val="0"/>
                          <w:marRight w:val="0"/>
                          <w:marTop w:val="0"/>
                          <w:marBottom w:val="0"/>
                          <w:divBdr>
                            <w:top w:val="none" w:sz="0" w:space="0" w:color="auto"/>
                            <w:left w:val="none" w:sz="0" w:space="0" w:color="auto"/>
                            <w:bottom w:val="none" w:sz="0" w:space="0" w:color="auto"/>
                            <w:right w:val="none" w:sz="0" w:space="0" w:color="auto"/>
                          </w:divBdr>
                        </w:div>
                        <w:div w:id="1349135179">
                          <w:marLeft w:val="0"/>
                          <w:marRight w:val="0"/>
                          <w:marTop w:val="0"/>
                          <w:marBottom w:val="0"/>
                          <w:divBdr>
                            <w:top w:val="none" w:sz="0" w:space="0" w:color="auto"/>
                            <w:left w:val="none" w:sz="0" w:space="0" w:color="auto"/>
                            <w:bottom w:val="none" w:sz="0" w:space="0" w:color="auto"/>
                            <w:right w:val="none" w:sz="0" w:space="0" w:color="auto"/>
                          </w:divBdr>
                        </w:div>
                        <w:div w:id="1971590541">
                          <w:marLeft w:val="0"/>
                          <w:marRight w:val="0"/>
                          <w:marTop w:val="0"/>
                          <w:marBottom w:val="0"/>
                          <w:divBdr>
                            <w:top w:val="none" w:sz="0" w:space="0" w:color="auto"/>
                            <w:left w:val="none" w:sz="0" w:space="0" w:color="auto"/>
                            <w:bottom w:val="none" w:sz="0" w:space="0" w:color="auto"/>
                            <w:right w:val="none" w:sz="0" w:space="0" w:color="auto"/>
                          </w:divBdr>
                        </w:div>
                        <w:div w:id="1202934613">
                          <w:marLeft w:val="0"/>
                          <w:marRight w:val="0"/>
                          <w:marTop w:val="0"/>
                          <w:marBottom w:val="0"/>
                          <w:divBdr>
                            <w:top w:val="none" w:sz="0" w:space="0" w:color="auto"/>
                            <w:left w:val="none" w:sz="0" w:space="0" w:color="auto"/>
                            <w:bottom w:val="none" w:sz="0" w:space="0" w:color="auto"/>
                            <w:right w:val="none" w:sz="0" w:space="0" w:color="auto"/>
                          </w:divBdr>
                        </w:div>
                        <w:div w:id="370611763">
                          <w:marLeft w:val="0"/>
                          <w:marRight w:val="0"/>
                          <w:marTop w:val="0"/>
                          <w:marBottom w:val="0"/>
                          <w:divBdr>
                            <w:top w:val="none" w:sz="0" w:space="0" w:color="auto"/>
                            <w:left w:val="none" w:sz="0" w:space="0" w:color="auto"/>
                            <w:bottom w:val="none" w:sz="0" w:space="0" w:color="auto"/>
                            <w:right w:val="none" w:sz="0" w:space="0" w:color="auto"/>
                          </w:divBdr>
                        </w:div>
                      </w:divsChild>
                    </w:div>
                    <w:div w:id="634722541">
                      <w:marLeft w:val="0"/>
                      <w:marRight w:val="0"/>
                      <w:marTop w:val="0"/>
                      <w:marBottom w:val="0"/>
                      <w:divBdr>
                        <w:top w:val="none" w:sz="0" w:space="0" w:color="auto"/>
                        <w:left w:val="none" w:sz="0" w:space="0" w:color="auto"/>
                        <w:bottom w:val="none" w:sz="0" w:space="0" w:color="auto"/>
                        <w:right w:val="none" w:sz="0" w:space="0" w:color="auto"/>
                      </w:divBdr>
                      <w:divsChild>
                        <w:div w:id="2066295935">
                          <w:marLeft w:val="0"/>
                          <w:marRight w:val="0"/>
                          <w:marTop w:val="0"/>
                          <w:marBottom w:val="0"/>
                          <w:divBdr>
                            <w:top w:val="none" w:sz="0" w:space="0" w:color="auto"/>
                            <w:left w:val="none" w:sz="0" w:space="0" w:color="auto"/>
                            <w:bottom w:val="none" w:sz="0" w:space="0" w:color="auto"/>
                            <w:right w:val="none" w:sz="0" w:space="0" w:color="auto"/>
                          </w:divBdr>
                        </w:div>
                        <w:div w:id="1417290567">
                          <w:marLeft w:val="0"/>
                          <w:marRight w:val="0"/>
                          <w:marTop w:val="0"/>
                          <w:marBottom w:val="0"/>
                          <w:divBdr>
                            <w:top w:val="none" w:sz="0" w:space="0" w:color="auto"/>
                            <w:left w:val="none" w:sz="0" w:space="0" w:color="auto"/>
                            <w:bottom w:val="none" w:sz="0" w:space="0" w:color="auto"/>
                            <w:right w:val="none" w:sz="0" w:space="0" w:color="auto"/>
                          </w:divBdr>
                        </w:div>
                        <w:div w:id="2055615032">
                          <w:marLeft w:val="0"/>
                          <w:marRight w:val="0"/>
                          <w:marTop w:val="0"/>
                          <w:marBottom w:val="0"/>
                          <w:divBdr>
                            <w:top w:val="none" w:sz="0" w:space="0" w:color="auto"/>
                            <w:left w:val="none" w:sz="0" w:space="0" w:color="auto"/>
                            <w:bottom w:val="none" w:sz="0" w:space="0" w:color="auto"/>
                            <w:right w:val="none" w:sz="0" w:space="0" w:color="auto"/>
                          </w:divBdr>
                        </w:div>
                        <w:div w:id="349644253">
                          <w:marLeft w:val="0"/>
                          <w:marRight w:val="0"/>
                          <w:marTop w:val="0"/>
                          <w:marBottom w:val="0"/>
                          <w:divBdr>
                            <w:top w:val="none" w:sz="0" w:space="0" w:color="auto"/>
                            <w:left w:val="none" w:sz="0" w:space="0" w:color="auto"/>
                            <w:bottom w:val="none" w:sz="0" w:space="0" w:color="auto"/>
                            <w:right w:val="none" w:sz="0" w:space="0" w:color="auto"/>
                          </w:divBdr>
                        </w:div>
                        <w:div w:id="477653144">
                          <w:marLeft w:val="0"/>
                          <w:marRight w:val="0"/>
                          <w:marTop w:val="0"/>
                          <w:marBottom w:val="0"/>
                          <w:divBdr>
                            <w:top w:val="none" w:sz="0" w:space="0" w:color="auto"/>
                            <w:left w:val="none" w:sz="0" w:space="0" w:color="auto"/>
                            <w:bottom w:val="none" w:sz="0" w:space="0" w:color="auto"/>
                            <w:right w:val="none" w:sz="0" w:space="0" w:color="auto"/>
                          </w:divBdr>
                        </w:div>
                        <w:div w:id="991562193">
                          <w:marLeft w:val="0"/>
                          <w:marRight w:val="0"/>
                          <w:marTop w:val="0"/>
                          <w:marBottom w:val="0"/>
                          <w:divBdr>
                            <w:top w:val="none" w:sz="0" w:space="0" w:color="auto"/>
                            <w:left w:val="none" w:sz="0" w:space="0" w:color="auto"/>
                            <w:bottom w:val="none" w:sz="0" w:space="0" w:color="auto"/>
                            <w:right w:val="none" w:sz="0" w:space="0" w:color="auto"/>
                          </w:divBdr>
                        </w:div>
                        <w:div w:id="268859375">
                          <w:marLeft w:val="0"/>
                          <w:marRight w:val="0"/>
                          <w:marTop w:val="0"/>
                          <w:marBottom w:val="0"/>
                          <w:divBdr>
                            <w:top w:val="none" w:sz="0" w:space="0" w:color="auto"/>
                            <w:left w:val="none" w:sz="0" w:space="0" w:color="auto"/>
                            <w:bottom w:val="none" w:sz="0" w:space="0" w:color="auto"/>
                            <w:right w:val="none" w:sz="0" w:space="0" w:color="auto"/>
                          </w:divBdr>
                        </w:div>
                      </w:divsChild>
                    </w:div>
                    <w:div w:id="1267544482">
                      <w:marLeft w:val="0"/>
                      <w:marRight w:val="0"/>
                      <w:marTop w:val="0"/>
                      <w:marBottom w:val="0"/>
                      <w:divBdr>
                        <w:top w:val="none" w:sz="0" w:space="0" w:color="auto"/>
                        <w:left w:val="none" w:sz="0" w:space="0" w:color="auto"/>
                        <w:bottom w:val="none" w:sz="0" w:space="0" w:color="auto"/>
                        <w:right w:val="none" w:sz="0" w:space="0" w:color="auto"/>
                      </w:divBdr>
                      <w:divsChild>
                        <w:div w:id="1106120427">
                          <w:marLeft w:val="0"/>
                          <w:marRight w:val="0"/>
                          <w:marTop w:val="0"/>
                          <w:marBottom w:val="0"/>
                          <w:divBdr>
                            <w:top w:val="none" w:sz="0" w:space="0" w:color="auto"/>
                            <w:left w:val="none" w:sz="0" w:space="0" w:color="auto"/>
                            <w:bottom w:val="none" w:sz="0" w:space="0" w:color="auto"/>
                            <w:right w:val="none" w:sz="0" w:space="0" w:color="auto"/>
                          </w:divBdr>
                        </w:div>
                        <w:div w:id="1653100671">
                          <w:marLeft w:val="0"/>
                          <w:marRight w:val="0"/>
                          <w:marTop w:val="0"/>
                          <w:marBottom w:val="0"/>
                          <w:divBdr>
                            <w:top w:val="none" w:sz="0" w:space="0" w:color="auto"/>
                            <w:left w:val="none" w:sz="0" w:space="0" w:color="auto"/>
                            <w:bottom w:val="none" w:sz="0" w:space="0" w:color="auto"/>
                            <w:right w:val="none" w:sz="0" w:space="0" w:color="auto"/>
                          </w:divBdr>
                        </w:div>
                        <w:div w:id="973024211">
                          <w:marLeft w:val="0"/>
                          <w:marRight w:val="0"/>
                          <w:marTop w:val="0"/>
                          <w:marBottom w:val="0"/>
                          <w:divBdr>
                            <w:top w:val="none" w:sz="0" w:space="0" w:color="auto"/>
                            <w:left w:val="none" w:sz="0" w:space="0" w:color="auto"/>
                            <w:bottom w:val="none" w:sz="0" w:space="0" w:color="auto"/>
                            <w:right w:val="none" w:sz="0" w:space="0" w:color="auto"/>
                          </w:divBdr>
                        </w:div>
                      </w:divsChild>
                    </w:div>
                    <w:div w:id="287664420">
                      <w:marLeft w:val="0"/>
                      <w:marRight w:val="0"/>
                      <w:marTop w:val="0"/>
                      <w:marBottom w:val="0"/>
                      <w:divBdr>
                        <w:top w:val="none" w:sz="0" w:space="0" w:color="auto"/>
                        <w:left w:val="none" w:sz="0" w:space="0" w:color="auto"/>
                        <w:bottom w:val="none" w:sz="0" w:space="0" w:color="auto"/>
                        <w:right w:val="none" w:sz="0" w:space="0" w:color="auto"/>
                      </w:divBdr>
                      <w:divsChild>
                        <w:div w:id="444810462">
                          <w:marLeft w:val="0"/>
                          <w:marRight w:val="0"/>
                          <w:marTop w:val="0"/>
                          <w:marBottom w:val="0"/>
                          <w:divBdr>
                            <w:top w:val="none" w:sz="0" w:space="0" w:color="auto"/>
                            <w:left w:val="none" w:sz="0" w:space="0" w:color="auto"/>
                            <w:bottom w:val="none" w:sz="0" w:space="0" w:color="auto"/>
                            <w:right w:val="none" w:sz="0" w:space="0" w:color="auto"/>
                          </w:divBdr>
                        </w:div>
                      </w:divsChild>
                    </w:div>
                    <w:div w:id="1817992653">
                      <w:marLeft w:val="0"/>
                      <w:marRight w:val="0"/>
                      <w:marTop w:val="0"/>
                      <w:marBottom w:val="0"/>
                      <w:divBdr>
                        <w:top w:val="none" w:sz="0" w:space="0" w:color="auto"/>
                        <w:left w:val="none" w:sz="0" w:space="0" w:color="auto"/>
                        <w:bottom w:val="none" w:sz="0" w:space="0" w:color="auto"/>
                        <w:right w:val="none" w:sz="0" w:space="0" w:color="auto"/>
                      </w:divBdr>
                      <w:divsChild>
                        <w:div w:id="1147209699">
                          <w:marLeft w:val="0"/>
                          <w:marRight w:val="0"/>
                          <w:marTop w:val="0"/>
                          <w:marBottom w:val="0"/>
                          <w:divBdr>
                            <w:top w:val="none" w:sz="0" w:space="0" w:color="auto"/>
                            <w:left w:val="none" w:sz="0" w:space="0" w:color="auto"/>
                            <w:bottom w:val="none" w:sz="0" w:space="0" w:color="auto"/>
                            <w:right w:val="none" w:sz="0" w:space="0" w:color="auto"/>
                          </w:divBdr>
                        </w:div>
                        <w:div w:id="477721160">
                          <w:marLeft w:val="0"/>
                          <w:marRight w:val="0"/>
                          <w:marTop w:val="0"/>
                          <w:marBottom w:val="0"/>
                          <w:divBdr>
                            <w:top w:val="none" w:sz="0" w:space="0" w:color="auto"/>
                            <w:left w:val="none" w:sz="0" w:space="0" w:color="auto"/>
                            <w:bottom w:val="none" w:sz="0" w:space="0" w:color="auto"/>
                            <w:right w:val="none" w:sz="0" w:space="0" w:color="auto"/>
                          </w:divBdr>
                        </w:div>
                        <w:div w:id="1344164498">
                          <w:marLeft w:val="0"/>
                          <w:marRight w:val="0"/>
                          <w:marTop w:val="0"/>
                          <w:marBottom w:val="0"/>
                          <w:divBdr>
                            <w:top w:val="none" w:sz="0" w:space="0" w:color="auto"/>
                            <w:left w:val="none" w:sz="0" w:space="0" w:color="auto"/>
                            <w:bottom w:val="none" w:sz="0" w:space="0" w:color="auto"/>
                            <w:right w:val="none" w:sz="0" w:space="0" w:color="auto"/>
                          </w:divBdr>
                        </w:div>
                        <w:div w:id="1339308882">
                          <w:marLeft w:val="0"/>
                          <w:marRight w:val="0"/>
                          <w:marTop w:val="0"/>
                          <w:marBottom w:val="0"/>
                          <w:divBdr>
                            <w:top w:val="none" w:sz="0" w:space="0" w:color="auto"/>
                            <w:left w:val="none" w:sz="0" w:space="0" w:color="auto"/>
                            <w:bottom w:val="none" w:sz="0" w:space="0" w:color="auto"/>
                            <w:right w:val="none" w:sz="0" w:space="0" w:color="auto"/>
                          </w:divBdr>
                        </w:div>
                        <w:div w:id="1419717191">
                          <w:marLeft w:val="0"/>
                          <w:marRight w:val="0"/>
                          <w:marTop w:val="0"/>
                          <w:marBottom w:val="0"/>
                          <w:divBdr>
                            <w:top w:val="none" w:sz="0" w:space="0" w:color="auto"/>
                            <w:left w:val="none" w:sz="0" w:space="0" w:color="auto"/>
                            <w:bottom w:val="none" w:sz="0" w:space="0" w:color="auto"/>
                            <w:right w:val="none" w:sz="0" w:space="0" w:color="auto"/>
                          </w:divBdr>
                        </w:div>
                        <w:div w:id="2028634106">
                          <w:marLeft w:val="0"/>
                          <w:marRight w:val="0"/>
                          <w:marTop w:val="0"/>
                          <w:marBottom w:val="0"/>
                          <w:divBdr>
                            <w:top w:val="none" w:sz="0" w:space="0" w:color="auto"/>
                            <w:left w:val="none" w:sz="0" w:space="0" w:color="auto"/>
                            <w:bottom w:val="none" w:sz="0" w:space="0" w:color="auto"/>
                            <w:right w:val="none" w:sz="0" w:space="0" w:color="auto"/>
                          </w:divBdr>
                        </w:div>
                        <w:div w:id="1088188660">
                          <w:marLeft w:val="0"/>
                          <w:marRight w:val="0"/>
                          <w:marTop w:val="0"/>
                          <w:marBottom w:val="0"/>
                          <w:divBdr>
                            <w:top w:val="none" w:sz="0" w:space="0" w:color="auto"/>
                            <w:left w:val="none" w:sz="0" w:space="0" w:color="auto"/>
                            <w:bottom w:val="none" w:sz="0" w:space="0" w:color="auto"/>
                            <w:right w:val="none" w:sz="0" w:space="0" w:color="auto"/>
                          </w:divBdr>
                        </w:div>
                      </w:divsChild>
                    </w:div>
                    <w:div w:id="172889556">
                      <w:marLeft w:val="0"/>
                      <w:marRight w:val="0"/>
                      <w:marTop w:val="0"/>
                      <w:marBottom w:val="0"/>
                      <w:divBdr>
                        <w:top w:val="none" w:sz="0" w:space="0" w:color="auto"/>
                        <w:left w:val="none" w:sz="0" w:space="0" w:color="auto"/>
                        <w:bottom w:val="none" w:sz="0" w:space="0" w:color="auto"/>
                        <w:right w:val="none" w:sz="0" w:space="0" w:color="auto"/>
                      </w:divBdr>
                      <w:divsChild>
                        <w:div w:id="740181822">
                          <w:marLeft w:val="0"/>
                          <w:marRight w:val="0"/>
                          <w:marTop w:val="0"/>
                          <w:marBottom w:val="0"/>
                          <w:divBdr>
                            <w:top w:val="none" w:sz="0" w:space="0" w:color="auto"/>
                            <w:left w:val="none" w:sz="0" w:space="0" w:color="auto"/>
                            <w:bottom w:val="none" w:sz="0" w:space="0" w:color="auto"/>
                            <w:right w:val="none" w:sz="0" w:space="0" w:color="auto"/>
                          </w:divBdr>
                        </w:div>
                        <w:div w:id="957680035">
                          <w:marLeft w:val="0"/>
                          <w:marRight w:val="0"/>
                          <w:marTop w:val="0"/>
                          <w:marBottom w:val="0"/>
                          <w:divBdr>
                            <w:top w:val="none" w:sz="0" w:space="0" w:color="auto"/>
                            <w:left w:val="none" w:sz="0" w:space="0" w:color="auto"/>
                            <w:bottom w:val="none" w:sz="0" w:space="0" w:color="auto"/>
                            <w:right w:val="none" w:sz="0" w:space="0" w:color="auto"/>
                          </w:divBdr>
                        </w:div>
                        <w:div w:id="811798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658915">
                  <w:marLeft w:val="0"/>
                  <w:marRight w:val="0"/>
                  <w:marTop w:val="0"/>
                  <w:marBottom w:val="0"/>
                  <w:divBdr>
                    <w:top w:val="none" w:sz="0" w:space="0" w:color="auto"/>
                    <w:left w:val="none" w:sz="0" w:space="0" w:color="auto"/>
                    <w:bottom w:val="none" w:sz="0" w:space="0" w:color="auto"/>
                    <w:right w:val="none" w:sz="0" w:space="0" w:color="auto"/>
                  </w:divBdr>
                  <w:divsChild>
                    <w:div w:id="2121340239">
                      <w:marLeft w:val="0"/>
                      <w:marRight w:val="0"/>
                      <w:marTop w:val="0"/>
                      <w:marBottom w:val="0"/>
                      <w:divBdr>
                        <w:top w:val="none" w:sz="0" w:space="0" w:color="auto"/>
                        <w:left w:val="none" w:sz="0" w:space="0" w:color="auto"/>
                        <w:bottom w:val="none" w:sz="0" w:space="0" w:color="auto"/>
                        <w:right w:val="none" w:sz="0" w:space="0" w:color="auto"/>
                      </w:divBdr>
                    </w:div>
                    <w:div w:id="999581022">
                      <w:marLeft w:val="0"/>
                      <w:marRight w:val="0"/>
                      <w:marTop w:val="0"/>
                      <w:marBottom w:val="0"/>
                      <w:divBdr>
                        <w:top w:val="none" w:sz="0" w:space="0" w:color="auto"/>
                        <w:left w:val="none" w:sz="0" w:space="0" w:color="auto"/>
                        <w:bottom w:val="none" w:sz="0" w:space="0" w:color="auto"/>
                        <w:right w:val="none" w:sz="0" w:space="0" w:color="auto"/>
                      </w:divBdr>
                      <w:divsChild>
                        <w:div w:id="122816891">
                          <w:marLeft w:val="0"/>
                          <w:marRight w:val="0"/>
                          <w:marTop w:val="0"/>
                          <w:marBottom w:val="0"/>
                          <w:divBdr>
                            <w:top w:val="none" w:sz="0" w:space="0" w:color="auto"/>
                            <w:left w:val="none" w:sz="0" w:space="0" w:color="auto"/>
                            <w:bottom w:val="none" w:sz="0" w:space="0" w:color="auto"/>
                            <w:right w:val="none" w:sz="0" w:space="0" w:color="auto"/>
                          </w:divBdr>
                        </w:div>
                        <w:div w:id="786003108">
                          <w:marLeft w:val="0"/>
                          <w:marRight w:val="0"/>
                          <w:marTop w:val="0"/>
                          <w:marBottom w:val="0"/>
                          <w:divBdr>
                            <w:top w:val="none" w:sz="0" w:space="0" w:color="auto"/>
                            <w:left w:val="none" w:sz="0" w:space="0" w:color="auto"/>
                            <w:bottom w:val="none" w:sz="0" w:space="0" w:color="auto"/>
                            <w:right w:val="none" w:sz="0" w:space="0" w:color="auto"/>
                          </w:divBdr>
                          <w:divsChild>
                            <w:div w:id="820000072">
                              <w:marLeft w:val="0"/>
                              <w:marRight w:val="0"/>
                              <w:marTop w:val="0"/>
                              <w:marBottom w:val="0"/>
                              <w:divBdr>
                                <w:top w:val="none" w:sz="0" w:space="0" w:color="auto"/>
                                <w:left w:val="none" w:sz="0" w:space="0" w:color="auto"/>
                                <w:bottom w:val="none" w:sz="0" w:space="0" w:color="auto"/>
                                <w:right w:val="none" w:sz="0" w:space="0" w:color="auto"/>
                              </w:divBdr>
                            </w:div>
                            <w:div w:id="803692752">
                              <w:marLeft w:val="0"/>
                              <w:marRight w:val="0"/>
                              <w:marTop w:val="0"/>
                              <w:marBottom w:val="0"/>
                              <w:divBdr>
                                <w:top w:val="none" w:sz="0" w:space="0" w:color="auto"/>
                                <w:left w:val="none" w:sz="0" w:space="0" w:color="auto"/>
                                <w:bottom w:val="none" w:sz="0" w:space="0" w:color="auto"/>
                                <w:right w:val="none" w:sz="0" w:space="0" w:color="auto"/>
                              </w:divBdr>
                            </w:div>
                            <w:div w:id="1133446989">
                              <w:marLeft w:val="0"/>
                              <w:marRight w:val="0"/>
                              <w:marTop w:val="0"/>
                              <w:marBottom w:val="0"/>
                              <w:divBdr>
                                <w:top w:val="none" w:sz="0" w:space="0" w:color="auto"/>
                                <w:left w:val="none" w:sz="0" w:space="0" w:color="auto"/>
                                <w:bottom w:val="none" w:sz="0" w:space="0" w:color="auto"/>
                                <w:right w:val="none" w:sz="0" w:space="0" w:color="auto"/>
                              </w:divBdr>
                            </w:div>
                          </w:divsChild>
                        </w:div>
                        <w:div w:id="1229725626">
                          <w:marLeft w:val="0"/>
                          <w:marRight w:val="0"/>
                          <w:marTop w:val="0"/>
                          <w:marBottom w:val="0"/>
                          <w:divBdr>
                            <w:top w:val="none" w:sz="0" w:space="0" w:color="auto"/>
                            <w:left w:val="none" w:sz="0" w:space="0" w:color="auto"/>
                            <w:bottom w:val="none" w:sz="0" w:space="0" w:color="auto"/>
                            <w:right w:val="none" w:sz="0" w:space="0" w:color="auto"/>
                          </w:divBdr>
                        </w:div>
                        <w:div w:id="1978298765">
                          <w:marLeft w:val="0"/>
                          <w:marRight w:val="0"/>
                          <w:marTop w:val="0"/>
                          <w:marBottom w:val="0"/>
                          <w:divBdr>
                            <w:top w:val="none" w:sz="0" w:space="0" w:color="auto"/>
                            <w:left w:val="none" w:sz="0" w:space="0" w:color="auto"/>
                            <w:bottom w:val="none" w:sz="0" w:space="0" w:color="auto"/>
                            <w:right w:val="none" w:sz="0" w:space="0" w:color="auto"/>
                          </w:divBdr>
                        </w:div>
                        <w:div w:id="1025593806">
                          <w:marLeft w:val="0"/>
                          <w:marRight w:val="0"/>
                          <w:marTop w:val="0"/>
                          <w:marBottom w:val="0"/>
                          <w:divBdr>
                            <w:top w:val="none" w:sz="0" w:space="0" w:color="auto"/>
                            <w:left w:val="none" w:sz="0" w:space="0" w:color="auto"/>
                            <w:bottom w:val="none" w:sz="0" w:space="0" w:color="auto"/>
                            <w:right w:val="none" w:sz="0" w:space="0" w:color="auto"/>
                          </w:divBdr>
                        </w:div>
                        <w:div w:id="906299960">
                          <w:marLeft w:val="0"/>
                          <w:marRight w:val="0"/>
                          <w:marTop w:val="0"/>
                          <w:marBottom w:val="0"/>
                          <w:divBdr>
                            <w:top w:val="none" w:sz="0" w:space="0" w:color="auto"/>
                            <w:left w:val="none" w:sz="0" w:space="0" w:color="auto"/>
                            <w:bottom w:val="none" w:sz="0" w:space="0" w:color="auto"/>
                            <w:right w:val="none" w:sz="0" w:space="0" w:color="auto"/>
                          </w:divBdr>
                        </w:div>
                        <w:div w:id="416096194">
                          <w:marLeft w:val="0"/>
                          <w:marRight w:val="0"/>
                          <w:marTop w:val="0"/>
                          <w:marBottom w:val="0"/>
                          <w:divBdr>
                            <w:top w:val="none" w:sz="0" w:space="0" w:color="auto"/>
                            <w:left w:val="none" w:sz="0" w:space="0" w:color="auto"/>
                            <w:bottom w:val="none" w:sz="0" w:space="0" w:color="auto"/>
                            <w:right w:val="none" w:sz="0" w:space="0" w:color="auto"/>
                          </w:divBdr>
                        </w:div>
                        <w:div w:id="2143766069">
                          <w:marLeft w:val="0"/>
                          <w:marRight w:val="0"/>
                          <w:marTop w:val="0"/>
                          <w:marBottom w:val="0"/>
                          <w:divBdr>
                            <w:top w:val="none" w:sz="0" w:space="0" w:color="auto"/>
                            <w:left w:val="none" w:sz="0" w:space="0" w:color="auto"/>
                            <w:bottom w:val="none" w:sz="0" w:space="0" w:color="auto"/>
                            <w:right w:val="none" w:sz="0" w:space="0" w:color="auto"/>
                          </w:divBdr>
                        </w:div>
                        <w:div w:id="1133594854">
                          <w:marLeft w:val="0"/>
                          <w:marRight w:val="0"/>
                          <w:marTop w:val="0"/>
                          <w:marBottom w:val="0"/>
                          <w:divBdr>
                            <w:top w:val="none" w:sz="0" w:space="0" w:color="auto"/>
                            <w:left w:val="none" w:sz="0" w:space="0" w:color="auto"/>
                            <w:bottom w:val="none" w:sz="0" w:space="0" w:color="auto"/>
                            <w:right w:val="none" w:sz="0" w:space="0" w:color="auto"/>
                          </w:divBdr>
                        </w:div>
                        <w:div w:id="561521465">
                          <w:marLeft w:val="0"/>
                          <w:marRight w:val="0"/>
                          <w:marTop w:val="0"/>
                          <w:marBottom w:val="0"/>
                          <w:divBdr>
                            <w:top w:val="none" w:sz="0" w:space="0" w:color="auto"/>
                            <w:left w:val="none" w:sz="0" w:space="0" w:color="auto"/>
                            <w:bottom w:val="none" w:sz="0" w:space="0" w:color="auto"/>
                            <w:right w:val="none" w:sz="0" w:space="0" w:color="auto"/>
                          </w:divBdr>
                        </w:div>
                        <w:div w:id="1720088146">
                          <w:marLeft w:val="0"/>
                          <w:marRight w:val="0"/>
                          <w:marTop w:val="0"/>
                          <w:marBottom w:val="0"/>
                          <w:divBdr>
                            <w:top w:val="none" w:sz="0" w:space="0" w:color="auto"/>
                            <w:left w:val="none" w:sz="0" w:space="0" w:color="auto"/>
                            <w:bottom w:val="none" w:sz="0" w:space="0" w:color="auto"/>
                            <w:right w:val="none" w:sz="0" w:space="0" w:color="auto"/>
                          </w:divBdr>
                        </w:div>
                      </w:divsChild>
                    </w:div>
                    <w:div w:id="2001956064">
                      <w:marLeft w:val="0"/>
                      <w:marRight w:val="0"/>
                      <w:marTop w:val="0"/>
                      <w:marBottom w:val="0"/>
                      <w:divBdr>
                        <w:top w:val="none" w:sz="0" w:space="0" w:color="auto"/>
                        <w:left w:val="none" w:sz="0" w:space="0" w:color="auto"/>
                        <w:bottom w:val="none" w:sz="0" w:space="0" w:color="auto"/>
                        <w:right w:val="none" w:sz="0" w:space="0" w:color="auto"/>
                      </w:divBdr>
                      <w:divsChild>
                        <w:div w:id="2010476240">
                          <w:marLeft w:val="0"/>
                          <w:marRight w:val="0"/>
                          <w:marTop w:val="0"/>
                          <w:marBottom w:val="0"/>
                          <w:divBdr>
                            <w:top w:val="none" w:sz="0" w:space="0" w:color="auto"/>
                            <w:left w:val="none" w:sz="0" w:space="0" w:color="auto"/>
                            <w:bottom w:val="none" w:sz="0" w:space="0" w:color="auto"/>
                            <w:right w:val="none" w:sz="0" w:space="0" w:color="auto"/>
                          </w:divBdr>
                        </w:div>
                        <w:div w:id="1159728512">
                          <w:marLeft w:val="0"/>
                          <w:marRight w:val="0"/>
                          <w:marTop w:val="0"/>
                          <w:marBottom w:val="0"/>
                          <w:divBdr>
                            <w:top w:val="none" w:sz="0" w:space="0" w:color="auto"/>
                            <w:left w:val="none" w:sz="0" w:space="0" w:color="auto"/>
                            <w:bottom w:val="none" w:sz="0" w:space="0" w:color="auto"/>
                            <w:right w:val="none" w:sz="0" w:space="0" w:color="auto"/>
                          </w:divBdr>
                        </w:div>
                        <w:div w:id="436104201">
                          <w:marLeft w:val="0"/>
                          <w:marRight w:val="0"/>
                          <w:marTop w:val="0"/>
                          <w:marBottom w:val="0"/>
                          <w:divBdr>
                            <w:top w:val="none" w:sz="0" w:space="0" w:color="auto"/>
                            <w:left w:val="none" w:sz="0" w:space="0" w:color="auto"/>
                            <w:bottom w:val="none" w:sz="0" w:space="0" w:color="auto"/>
                            <w:right w:val="none" w:sz="0" w:space="0" w:color="auto"/>
                          </w:divBdr>
                        </w:div>
                        <w:div w:id="1302492181">
                          <w:marLeft w:val="0"/>
                          <w:marRight w:val="0"/>
                          <w:marTop w:val="0"/>
                          <w:marBottom w:val="0"/>
                          <w:divBdr>
                            <w:top w:val="none" w:sz="0" w:space="0" w:color="auto"/>
                            <w:left w:val="none" w:sz="0" w:space="0" w:color="auto"/>
                            <w:bottom w:val="none" w:sz="0" w:space="0" w:color="auto"/>
                            <w:right w:val="none" w:sz="0" w:space="0" w:color="auto"/>
                          </w:divBdr>
                        </w:div>
                      </w:divsChild>
                    </w:div>
                    <w:div w:id="513155046">
                      <w:marLeft w:val="0"/>
                      <w:marRight w:val="0"/>
                      <w:marTop w:val="0"/>
                      <w:marBottom w:val="0"/>
                      <w:divBdr>
                        <w:top w:val="none" w:sz="0" w:space="0" w:color="auto"/>
                        <w:left w:val="none" w:sz="0" w:space="0" w:color="auto"/>
                        <w:bottom w:val="none" w:sz="0" w:space="0" w:color="auto"/>
                        <w:right w:val="none" w:sz="0" w:space="0" w:color="auto"/>
                      </w:divBdr>
                      <w:divsChild>
                        <w:div w:id="1959752287">
                          <w:marLeft w:val="0"/>
                          <w:marRight w:val="0"/>
                          <w:marTop w:val="0"/>
                          <w:marBottom w:val="0"/>
                          <w:divBdr>
                            <w:top w:val="none" w:sz="0" w:space="0" w:color="auto"/>
                            <w:left w:val="none" w:sz="0" w:space="0" w:color="auto"/>
                            <w:bottom w:val="none" w:sz="0" w:space="0" w:color="auto"/>
                            <w:right w:val="none" w:sz="0" w:space="0" w:color="auto"/>
                          </w:divBdr>
                        </w:div>
                        <w:div w:id="1185481983">
                          <w:marLeft w:val="0"/>
                          <w:marRight w:val="0"/>
                          <w:marTop w:val="0"/>
                          <w:marBottom w:val="0"/>
                          <w:divBdr>
                            <w:top w:val="none" w:sz="0" w:space="0" w:color="auto"/>
                            <w:left w:val="none" w:sz="0" w:space="0" w:color="auto"/>
                            <w:bottom w:val="none" w:sz="0" w:space="0" w:color="auto"/>
                            <w:right w:val="none" w:sz="0" w:space="0" w:color="auto"/>
                          </w:divBdr>
                        </w:div>
                        <w:div w:id="452987361">
                          <w:marLeft w:val="0"/>
                          <w:marRight w:val="0"/>
                          <w:marTop w:val="0"/>
                          <w:marBottom w:val="0"/>
                          <w:divBdr>
                            <w:top w:val="none" w:sz="0" w:space="0" w:color="auto"/>
                            <w:left w:val="none" w:sz="0" w:space="0" w:color="auto"/>
                            <w:bottom w:val="none" w:sz="0" w:space="0" w:color="auto"/>
                            <w:right w:val="none" w:sz="0" w:space="0" w:color="auto"/>
                          </w:divBdr>
                        </w:div>
                        <w:div w:id="15172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293773">
              <w:marLeft w:val="0"/>
              <w:marRight w:val="0"/>
              <w:marTop w:val="0"/>
              <w:marBottom w:val="0"/>
              <w:divBdr>
                <w:top w:val="none" w:sz="0" w:space="0" w:color="auto"/>
                <w:left w:val="none" w:sz="0" w:space="0" w:color="auto"/>
                <w:bottom w:val="none" w:sz="0" w:space="0" w:color="auto"/>
                <w:right w:val="none" w:sz="0" w:space="0" w:color="auto"/>
              </w:divBdr>
              <w:divsChild>
                <w:div w:id="1284965048">
                  <w:marLeft w:val="810"/>
                  <w:marRight w:val="810"/>
                  <w:marTop w:val="360"/>
                  <w:marBottom w:val="0"/>
                  <w:divBdr>
                    <w:top w:val="none" w:sz="0" w:space="0" w:color="auto"/>
                    <w:left w:val="none" w:sz="0" w:space="0" w:color="auto"/>
                    <w:bottom w:val="none" w:sz="0" w:space="0" w:color="auto"/>
                    <w:right w:val="none" w:sz="0" w:space="0" w:color="auto"/>
                  </w:divBdr>
                  <w:divsChild>
                    <w:div w:id="1741514090">
                      <w:marLeft w:val="4005"/>
                      <w:marRight w:val="810"/>
                      <w:marTop w:val="0"/>
                      <w:marBottom w:val="0"/>
                      <w:divBdr>
                        <w:top w:val="none" w:sz="0" w:space="0" w:color="auto"/>
                        <w:left w:val="none" w:sz="0" w:space="0" w:color="auto"/>
                        <w:bottom w:val="none" w:sz="0" w:space="0" w:color="auto"/>
                        <w:right w:val="none" w:sz="0" w:space="0" w:color="auto"/>
                      </w:divBdr>
                    </w:div>
                    <w:div w:id="1209761035">
                      <w:marLeft w:val="4005"/>
                      <w:marRight w:val="81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ur-lex.europa.eu/eli/reg/2020/852/oj/eng?utm_source=chatgpt.com" TargetMode="External"/><Relationship Id="rId21" Type="http://schemas.openxmlformats.org/officeDocument/2006/relationships/hyperlink" Target="https://eur-lex.europa.eu/eli/reg/2020/852/oj/eng?utm_source=chatgpt.com" TargetMode="External"/><Relationship Id="rId42" Type="http://schemas.openxmlformats.org/officeDocument/2006/relationships/hyperlink" Target="https://eur-lex.europa.eu/eli/reg/2020/852/oj/eng?utm_source=chatgpt.com" TargetMode="External"/><Relationship Id="rId63" Type="http://schemas.openxmlformats.org/officeDocument/2006/relationships/hyperlink" Target="https://eur-lex.europa.eu/eli/reg/2020/852/oj/eng?utm_source=chatgpt.com" TargetMode="External"/><Relationship Id="rId84" Type="http://schemas.openxmlformats.org/officeDocument/2006/relationships/hyperlink" Target="https://eur-lex.europa.eu/eli/reg/2020/852/oj/eng?utm_source=chatgpt.com" TargetMode="External"/><Relationship Id="rId138" Type="http://schemas.openxmlformats.org/officeDocument/2006/relationships/hyperlink" Target="https://eur-lex.europa.eu/legal-content/EN/AUTO/?uri=OJ:L:2008:312:TOC" TargetMode="External"/><Relationship Id="rId159" Type="http://schemas.openxmlformats.org/officeDocument/2006/relationships/hyperlink" Target="https://eur-lex.europa.eu/eli/reg/2020/852/oj/eng?utm_source=chatgpt.com" TargetMode="External"/><Relationship Id="rId170" Type="http://schemas.openxmlformats.org/officeDocument/2006/relationships/hyperlink" Target="https://eur-lex.europa.eu/legal-content/EN/AUTO/?uri=OJ:L:2014:150:TOC" TargetMode="External"/><Relationship Id="rId191" Type="http://schemas.openxmlformats.org/officeDocument/2006/relationships/hyperlink" Target="https://eur-lex.europa.eu/eli/reg/2020/852/oj/eng?utm_source=chatgpt.com" TargetMode="External"/><Relationship Id="rId205" Type="http://schemas.openxmlformats.org/officeDocument/2006/relationships/hyperlink" Target="https://eur-lex.europa.eu/eli/reg/2020/852/oj/eng?utm_source=chatgpt.com" TargetMode="External"/><Relationship Id="rId226" Type="http://schemas.openxmlformats.org/officeDocument/2006/relationships/hyperlink" Target="https://eur-lex.europa.eu/legal-content/EN/AUTO/?uri=OJ:L:2017:168:TOC" TargetMode="External"/><Relationship Id="rId107" Type="http://schemas.openxmlformats.org/officeDocument/2006/relationships/hyperlink" Target="https://eur-lex.europa.eu/eli/reg/2020/852/oj/eng?utm_source=chatgpt.com" TargetMode="External"/><Relationship Id="rId11" Type="http://schemas.openxmlformats.org/officeDocument/2006/relationships/hyperlink" Target="https://eur-lex.europa.eu/eli/reg/2020/852/oj/eng?utm_source=chatgpt.com" TargetMode="External"/><Relationship Id="rId32" Type="http://schemas.openxmlformats.org/officeDocument/2006/relationships/hyperlink" Target="https://eur-lex.europa.eu/eli/reg/2020/852/oj/eng?utm_source=chatgpt.com" TargetMode="External"/><Relationship Id="rId53" Type="http://schemas.openxmlformats.org/officeDocument/2006/relationships/hyperlink" Target="https://eur-lex.europa.eu/eli/reg/2020/852/oj/eng?utm_source=chatgpt.com" TargetMode="External"/><Relationship Id="rId74" Type="http://schemas.openxmlformats.org/officeDocument/2006/relationships/hyperlink" Target="https://eur-lex.europa.eu/eli/reg/2020/852/oj/eng?utm_source=chatgpt.com" TargetMode="External"/><Relationship Id="rId128" Type="http://schemas.openxmlformats.org/officeDocument/2006/relationships/hyperlink" Target="https://eur-lex.europa.eu/legal-content/EN/AUTO/?uri=OJ:L:2006:396:TOC" TargetMode="External"/><Relationship Id="rId149" Type="http://schemas.openxmlformats.org/officeDocument/2006/relationships/hyperlink" Target="https://eur-lex.europa.eu/eli/reg/2020/852/oj/eng?utm_source=chatgpt.com" TargetMode="External"/><Relationship Id="rId5" Type="http://schemas.openxmlformats.org/officeDocument/2006/relationships/hyperlink" Target="https://eur-lex.europa.eu/eli/reg/2020/852/oj/eng?utm_source=chatgpt.com" TargetMode="External"/><Relationship Id="rId95" Type="http://schemas.openxmlformats.org/officeDocument/2006/relationships/hyperlink" Target="https://eur-lex.europa.eu/eli/reg/2020/852/oj/eng?utm_source=chatgpt.com" TargetMode="External"/><Relationship Id="rId160" Type="http://schemas.openxmlformats.org/officeDocument/2006/relationships/hyperlink" Target="https://eur-lex.europa.eu/legal-content/EN/AUTO/?uri=OJ:L:2005:023:TOC" TargetMode="External"/><Relationship Id="rId181" Type="http://schemas.openxmlformats.org/officeDocument/2006/relationships/hyperlink" Target="https://eur-lex.europa.eu/eli/reg/2020/852/oj/eng?utm_source=chatgpt.com" TargetMode="External"/><Relationship Id="rId216" Type="http://schemas.openxmlformats.org/officeDocument/2006/relationships/hyperlink" Target="https://eur-lex.europa.eu/legal-content/EN/AUTO/?uri=OJ:L:2016:123:TOC" TargetMode="External"/><Relationship Id="rId22" Type="http://schemas.openxmlformats.org/officeDocument/2006/relationships/hyperlink" Target="https://eur-lex.europa.eu/eli/reg/2020/852/oj/eng?utm_source=chatgpt.com" TargetMode="External"/><Relationship Id="rId43" Type="http://schemas.openxmlformats.org/officeDocument/2006/relationships/hyperlink" Target="https://eur-lex.europa.eu/eli/reg/2020/852/oj/eng?utm_source=chatgpt.com" TargetMode="External"/><Relationship Id="rId64" Type="http://schemas.openxmlformats.org/officeDocument/2006/relationships/hyperlink" Target="https://eur-lex.europa.eu/eli/reg/2020/852/oj/eng?utm_source=chatgpt.com" TargetMode="External"/><Relationship Id="rId118" Type="http://schemas.openxmlformats.org/officeDocument/2006/relationships/hyperlink" Target="https://eur-lex.europa.eu/legal-content/EN/AUTO/?uri=OJ:L:1991:135:TOC" TargetMode="External"/><Relationship Id="rId139" Type="http://schemas.openxmlformats.org/officeDocument/2006/relationships/hyperlink" Target="https://eur-lex.europa.eu/eli/reg/2020/852/oj/eng?utm_source=chatgpt.com" TargetMode="External"/><Relationship Id="rId85" Type="http://schemas.openxmlformats.org/officeDocument/2006/relationships/hyperlink" Target="https://eur-lex.europa.eu/eli/reg/2020/852/oj/eng?utm_source=chatgpt.com" TargetMode="External"/><Relationship Id="rId150" Type="http://schemas.openxmlformats.org/officeDocument/2006/relationships/hyperlink" Target="https://eur-lex.europa.eu/legal-content/EN/AUTO/?uri=OJ:L:1999:182:TOC" TargetMode="External"/><Relationship Id="rId171" Type="http://schemas.openxmlformats.org/officeDocument/2006/relationships/hyperlink" Target="https://eur-lex.europa.eu/eli/reg/2020/852/oj/eng?utm_source=chatgpt.com" TargetMode="External"/><Relationship Id="rId192" Type="http://schemas.openxmlformats.org/officeDocument/2006/relationships/hyperlink" Target="https://eur-lex.europa.eu/legal-content/EN/AUTO/?uri=OJ:L:2010:331:TOC" TargetMode="External"/><Relationship Id="rId206" Type="http://schemas.openxmlformats.org/officeDocument/2006/relationships/hyperlink" Target="https://eur-lex.europa.eu/legal-content/EN/AUTO/?uri=OJ:L:2001:197:TOC" TargetMode="External"/><Relationship Id="rId227" Type="http://schemas.openxmlformats.org/officeDocument/2006/relationships/hyperlink" Target="https://eur-lex.europa.eu/eli/reg/2020/852/oj/eng?utm_source=chatgpt.com" TargetMode="External"/><Relationship Id="rId12" Type="http://schemas.openxmlformats.org/officeDocument/2006/relationships/hyperlink" Target="https://eur-lex.europa.eu/eli/reg/2020/852/oj/eng?utm_source=chatgpt.com" TargetMode="External"/><Relationship Id="rId33" Type="http://schemas.openxmlformats.org/officeDocument/2006/relationships/hyperlink" Target="https://eur-lex.europa.eu/eli/reg/2020/852/oj/eng?utm_source=chatgpt.com" TargetMode="External"/><Relationship Id="rId108" Type="http://schemas.openxmlformats.org/officeDocument/2006/relationships/hyperlink" Target="https://eur-lex.europa.eu/legal-content/EN/AUTO/?uri=OJ:L:2000:327:TOC" TargetMode="External"/><Relationship Id="rId129" Type="http://schemas.openxmlformats.org/officeDocument/2006/relationships/hyperlink" Target="https://eur-lex.europa.eu/eli/reg/2020/852/oj/eng?utm_source=chatgpt.com" TargetMode="External"/><Relationship Id="rId54" Type="http://schemas.openxmlformats.org/officeDocument/2006/relationships/hyperlink" Target="https://eur-lex.europa.eu/eli/reg/2020/852/oj/eng?utm_source=chatgpt.com" TargetMode="External"/><Relationship Id="rId75" Type="http://schemas.openxmlformats.org/officeDocument/2006/relationships/hyperlink" Target="https://eur-lex.europa.eu/eli/reg/2020/852/oj/eng?utm_source=chatgpt.com" TargetMode="External"/><Relationship Id="rId96" Type="http://schemas.openxmlformats.org/officeDocument/2006/relationships/hyperlink" Target="https://eur-lex.europa.eu/legal-content/EN/AUTO/?uri=OJ:L:2013:354:TOC" TargetMode="External"/><Relationship Id="rId140" Type="http://schemas.openxmlformats.org/officeDocument/2006/relationships/hyperlink" Target="https://eur-lex.europa.eu/legal-content/EN/AUTO/?uri=OJ:L:2010:334:TOC" TargetMode="External"/><Relationship Id="rId161" Type="http://schemas.openxmlformats.org/officeDocument/2006/relationships/hyperlink" Target="https://eur-lex.europa.eu/eli/reg/2020/852/oj/eng?utm_source=chatgpt.com" TargetMode="External"/><Relationship Id="rId182" Type="http://schemas.openxmlformats.org/officeDocument/2006/relationships/hyperlink" Target="https://eur-lex.europa.eu/legal-content/EN/AUTO/?uri=OJ:L:2018:328:TOC" TargetMode="External"/><Relationship Id="rId217" Type="http://schemas.openxmlformats.org/officeDocument/2006/relationships/hyperlink" Target="https://eur-lex.europa.eu/eli/reg/2020/852/oj/eng?utm_source=chatgpt.com" TargetMode="External"/><Relationship Id="rId6" Type="http://schemas.openxmlformats.org/officeDocument/2006/relationships/hyperlink" Target="https://eur-lex.europa.eu/eli/reg/2020/852/oj/eng?utm_source=chatgpt.com" TargetMode="External"/><Relationship Id="rId23" Type="http://schemas.openxmlformats.org/officeDocument/2006/relationships/hyperlink" Target="https://eur-lex.europa.eu/eli/reg/2020/852/oj/eng?utm_source=chatgpt.com" TargetMode="External"/><Relationship Id="rId119" Type="http://schemas.openxmlformats.org/officeDocument/2006/relationships/hyperlink" Target="https://eur-lex.europa.eu/eli/reg/2020/852/oj/eng?utm_source=chatgpt.com" TargetMode="External"/><Relationship Id="rId44" Type="http://schemas.openxmlformats.org/officeDocument/2006/relationships/hyperlink" Target="https://eur-lex.europa.eu/eli/reg/2020/852/oj/eng?utm_source=chatgpt.com" TargetMode="External"/><Relationship Id="rId65" Type="http://schemas.openxmlformats.org/officeDocument/2006/relationships/hyperlink" Target="https://eur-lex.europa.eu/eli/reg/2020/852/oj/eng?utm_source=chatgpt.com" TargetMode="External"/><Relationship Id="rId86" Type="http://schemas.openxmlformats.org/officeDocument/2006/relationships/hyperlink" Target="https://eur-lex.europa.eu/eli/reg/2020/852/oj/eng?utm_source=chatgpt.com" TargetMode="External"/><Relationship Id="rId130" Type="http://schemas.openxmlformats.org/officeDocument/2006/relationships/hyperlink" Target="https://eur-lex.europa.eu/legal-content/EN/AUTO/?uri=OJ:L:2019:169:TOC" TargetMode="External"/><Relationship Id="rId151" Type="http://schemas.openxmlformats.org/officeDocument/2006/relationships/hyperlink" Target="https://eur-lex.europa.eu/eli/reg/2020/852/oj/eng?utm_source=chatgpt.com" TargetMode="External"/><Relationship Id="rId172" Type="http://schemas.openxmlformats.org/officeDocument/2006/relationships/hyperlink" Target="https://eur-lex.europa.eu/legal-content/EN/AUTO/?uri=OJ:L:2014:317:TOC" TargetMode="External"/><Relationship Id="rId193" Type="http://schemas.openxmlformats.org/officeDocument/2006/relationships/hyperlink" Target="https://eur-lex.europa.eu/eli/reg/2020/852/oj/eng?utm_source=chatgpt.com" TargetMode="External"/><Relationship Id="rId207" Type="http://schemas.openxmlformats.org/officeDocument/2006/relationships/hyperlink" Target="https://eur-lex.europa.eu/eli/reg/2020/852/oj/eng?utm_source=chatgpt.com" TargetMode="External"/><Relationship Id="rId228" Type="http://schemas.openxmlformats.org/officeDocument/2006/relationships/hyperlink" Target="https://eur-lex.europa.eu/legal-content/EN/AUTO/?uri=OJ:L:2013:165:TOC" TargetMode="External"/><Relationship Id="rId13" Type="http://schemas.openxmlformats.org/officeDocument/2006/relationships/hyperlink" Target="https://eur-lex.europa.eu/eli/reg/2020/852/oj/eng?utm_source=chatgpt.com" TargetMode="External"/><Relationship Id="rId109" Type="http://schemas.openxmlformats.org/officeDocument/2006/relationships/hyperlink" Target="https://eur-lex.europa.eu/eli/reg/2020/852/oj/eng?utm_source=chatgpt.com" TargetMode="External"/><Relationship Id="rId34" Type="http://schemas.openxmlformats.org/officeDocument/2006/relationships/hyperlink" Target="https://eur-lex.europa.eu/eli/reg/2020/852/oj/eng?utm_source=chatgpt.com" TargetMode="External"/><Relationship Id="rId55" Type="http://schemas.openxmlformats.org/officeDocument/2006/relationships/hyperlink" Target="https://eur-lex.europa.eu/eli/reg/2020/852/oj/eng?utm_source=chatgpt.com" TargetMode="External"/><Relationship Id="rId76" Type="http://schemas.openxmlformats.org/officeDocument/2006/relationships/hyperlink" Target="https://eur-lex.europa.eu/eli/reg/2020/852/oj/eng?utm_source=chatgpt.com" TargetMode="External"/><Relationship Id="rId97" Type="http://schemas.openxmlformats.org/officeDocument/2006/relationships/hyperlink" Target="https://eur-lex.europa.eu/eli/reg/2020/852/oj/eng?utm_source=chatgpt.com" TargetMode="External"/><Relationship Id="rId120" Type="http://schemas.openxmlformats.org/officeDocument/2006/relationships/hyperlink" Target="https://eur-lex.europa.eu/legal-content/EN/AUTO/?uri=OJ:L:1991:375:TOC" TargetMode="External"/><Relationship Id="rId141" Type="http://schemas.openxmlformats.org/officeDocument/2006/relationships/hyperlink" Target="https://eur-lex.europa.eu/eli/reg/2020/852/oj/eng?utm_source=chatgpt.com" TargetMode="External"/><Relationship Id="rId7" Type="http://schemas.openxmlformats.org/officeDocument/2006/relationships/hyperlink" Target="https://eur-lex.europa.eu/eli/reg/2020/852/oj/eng?utm_source=chatgpt.com" TargetMode="External"/><Relationship Id="rId162" Type="http://schemas.openxmlformats.org/officeDocument/2006/relationships/hyperlink" Target="https://eur-lex.europa.eu/legal-content/EN/AUTO/?uri=OJ:L:2008:152:TOC" TargetMode="External"/><Relationship Id="rId183" Type="http://schemas.openxmlformats.org/officeDocument/2006/relationships/hyperlink" Target="https://eur-lex.europa.eu/eli/reg/2020/852/oj/eng?utm_source=chatgpt.com" TargetMode="External"/><Relationship Id="rId218" Type="http://schemas.openxmlformats.org/officeDocument/2006/relationships/hyperlink" Target="https://eur-lex.europa.eu/legal-content/EN/AUTO/?uri=OJ:L:2014:173:TOC" TargetMode="External"/><Relationship Id="rId24" Type="http://schemas.openxmlformats.org/officeDocument/2006/relationships/hyperlink" Target="https://eur-lex.europa.eu/eli/reg/2020/852/oj/eng?utm_source=chatgpt.com" TargetMode="External"/><Relationship Id="rId45" Type="http://schemas.openxmlformats.org/officeDocument/2006/relationships/hyperlink" Target="https://eur-lex.europa.eu/eli/reg/2020/852/oj/eng?utm_source=chatgpt.com" TargetMode="External"/><Relationship Id="rId66" Type="http://schemas.openxmlformats.org/officeDocument/2006/relationships/hyperlink" Target="https://eur-lex.europa.eu/eli/reg/2020/852/oj/eng?utm_source=chatgpt.com" TargetMode="External"/><Relationship Id="rId87" Type="http://schemas.openxmlformats.org/officeDocument/2006/relationships/hyperlink" Target="https://eur-lex.europa.eu/eli/reg/2020/852/oj/eng?utm_source=chatgpt.com" TargetMode="External"/><Relationship Id="rId110" Type="http://schemas.openxmlformats.org/officeDocument/2006/relationships/hyperlink" Target="https://eur-lex.europa.eu/legal-content/EN/AUTO/?uri=OJ:L:2006:064:TOC" TargetMode="External"/><Relationship Id="rId131" Type="http://schemas.openxmlformats.org/officeDocument/2006/relationships/hyperlink" Target="https://eur-lex.europa.eu/eli/reg/2020/852/oj/eng?utm_source=chatgpt.com" TargetMode="External"/><Relationship Id="rId152" Type="http://schemas.openxmlformats.org/officeDocument/2006/relationships/hyperlink" Target="https://eur-lex.europa.eu/legal-content/EN/AUTO/?uri=OJ:L:2014:365:TOC" TargetMode="External"/><Relationship Id="rId173" Type="http://schemas.openxmlformats.org/officeDocument/2006/relationships/hyperlink" Target="https://eur-lex.europa.eu/eli/reg/2020/852/oj/eng?utm_source=chatgpt.com" TargetMode="External"/><Relationship Id="rId194" Type="http://schemas.openxmlformats.org/officeDocument/2006/relationships/hyperlink" Target="https://eur-lex.europa.eu/legal-content/EN/AUTO/?uri=OJ:L:2010:331:TOC" TargetMode="External"/><Relationship Id="rId208" Type="http://schemas.openxmlformats.org/officeDocument/2006/relationships/hyperlink" Target="https://eur-lex.europa.eu/legal-content/EN/AUTO/?uri=OJ:L:2012:026:TOC" TargetMode="External"/><Relationship Id="rId229" Type="http://schemas.openxmlformats.org/officeDocument/2006/relationships/fontTable" Target="fontTable.xml"/><Relationship Id="rId14" Type="http://schemas.openxmlformats.org/officeDocument/2006/relationships/hyperlink" Target="https://eur-lex.europa.eu/eli/reg/2020/852/oj/eng?utm_source=chatgpt.com" TargetMode="External"/><Relationship Id="rId35" Type="http://schemas.openxmlformats.org/officeDocument/2006/relationships/hyperlink" Target="https://eur-lex.europa.eu/eli/reg/2020/852/oj/eng?utm_source=chatgpt.com" TargetMode="External"/><Relationship Id="rId56" Type="http://schemas.openxmlformats.org/officeDocument/2006/relationships/hyperlink" Target="https://eur-lex.europa.eu/eli/reg/2020/852/oj/eng?utm_source=chatgpt.com" TargetMode="External"/><Relationship Id="rId77" Type="http://schemas.openxmlformats.org/officeDocument/2006/relationships/hyperlink" Target="https://eur-lex.europa.eu/eli/reg/2020/852/oj/eng?utm_source=chatgpt.com" TargetMode="External"/><Relationship Id="rId100" Type="http://schemas.openxmlformats.org/officeDocument/2006/relationships/hyperlink" Target="https://eur-lex.europa.eu/legal-content/EN/AUTO/?uri=OJ:L:2019:317:TOC" TargetMode="External"/><Relationship Id="rId8" Type="http://schemas.openxmlformats.org/officeDocument/2006/relationships/hyperlink" Target="https://eur-lex.europa.eu/eli/reg/2020/852/oj/eng?utm_source=chatgpt.com" TargetMode="External"/><Relationship Id="rId98" Type="http://schemas.openxmlformats.org/officeDocument/2006/relationships/hyperlink" Target="https://eur-lex.europa.eu/legal-content/EN/AUTO/?uri=OJ:L:2015:169:TOC" TargetMode="External"/><Relationship Id="rId121" Type="http://schemas.openxmlformats.org/officeDocument/2006/relationships/hyperlink" Target="https://eur-lex.europa.eu/eli/reg/2020/852/oj/eng?utm_source=chatgpt.com" TargetMode="External"/><Relationship Id="rId142" Type="http://schemas.openxmlformats.org/officeDocument/2006/relationships/hyperlink" Target="https://eur-lex.europa.eu/legal-content/EN/AUTO/?uri=OJ:L:2011:174:TOC" TargetMode="External"/><Relationship Id="rId163" Type="http://schemas.openxmlformats.org/officeDocument/2006/relationships/hyperlink" Target="https://eur-lex.europa.eu/eli/reg/2020/852/oj/eng?utm_source=chatgpt.com" TargetMode="External"/><Relationship Id="rId184" Type="http://schemas.openxmlformats.org/officeDocument/2006/relationships/hyperlink" Target="https://eur-lex.europa.eu/legal-content/EN/AUTO/?uri=OJ:L:2017:198:TOC" TargetMode="External"/><Relationship Id="rId219" Type="http://schemas.openxmlformats.org/officeDocument/2006/relationships/hyperlink" Target="https://eur-lex.europa.eu/eli/reg/2020/852/oj/eng?utm_source=chatgpt.com" TargetMode="External"/><Relationship Id="rId230" Type="http://schemas.openxmlformats.org/officeDocument/2006/relationships/theme" Target="theme/theme1.xml"/><Relationship Id="rId25" Type="http://schemas.openxmlformats.org/officeDocument/2006/relationships/hyperlink" Target="https://eur-lex.europa.eu/eli/reg/2020/852/oj/eng?utm_source=chatgpt.com" TargetMode="External"/><Relationship Id="rId46" Type="http://schemas.openxmlformats.org/officeDocument/2006/relationships/hyperlink" Target="https://eur-lex.europa.eu/eli/reg/2020/852/oj/eng?utm_source=chatgpt.com" TargetMode="External"/><Relationship Id="rId67" Type="http://schemas.openxmlformats.org/officeDocument/2006/relationships/hyperlink" Target="https://eur-lex.europa.eu/eli/reg/2020/852/oj/eng?utm_source=chatgpt.com" TargetMode="External"/><Relationship Id="rId116" Type="http://schemas.openxmlformats.org/officeDocument/2006/relationships/hyperlink" Target="https://eur-lex.europa.eu/legal-content/EN/AUTO/?uri=OJ:L:2008:348:TOC" TargetMode="External"/><Relationship Id="rId137" Type="http://schemas.openxmlformats.org/officeDocument/2006/relationships/hyperlink" Target="https://eur-lex.europa.eu/eli/reg/2020/852/oj/eng?utm_source=chatgpt.com" TargetMode="External"/><Relationship Id="rId158" Type="http://schemas.openxmlformats.org/officeDocument/2006/relationships/hyperlink" Target="https://eur-lex.europa.eu/legal-content/EN/AUTO/?uri=OJ:L:2004:143:TOC" TargetMode="External"/><Relationship Id="rId20" Type="http://schemas.openxmlformats.org/officeDocument/2006/relationships/hyperlink" Target="https://eur-lex.europa.eu/eli/reg/2020/852/oj/eng?utm_source=chatgpt.com" TargetMode="External"/><Relationship Id="rId41" Type="http://schemas.openxmlformats.org/officeDocument/2006/relationships/hyperlink" Target="https://eur-lex.europa.eu/eli/reg/2020/852/oj/eng?utm_source=chatgpt.com" TargetMode="External"/><Relationship Id="rId62" Type="http://schemas.openxmlformats.org/officeDocument/2006/relationships/hyperlink" Target="https://eur-lex.europa.eu/eli/reg/2020/852/oj/eng?utm_source=chatgpt.com" TargetMode="External"/><Relationship Id="rId83" Type="http://schemas.openxmlformats.org/officeDocument/2006/relationships/hyperlink" Target="https://eur-lex.europa.eu/eli/reg/2020/852/oj/eng?utm_source=chatgpt.com" TargetMode="External"/><Relationship Id="rId88" Type="http://schemas.openxmlformats.org/officeDocument/2006/relationships/hyperlink" Target="https://eur-lex.europa.eu/eli/reg/2020/852/oj/eng?utm_source=chatgpt.com" TargetMode="External"/><Relationship Id="rId111" Type="http://schemas.openxmlformats.org/officeDocument/2006/relationships/hyperlink" Target="https://eur-lex.europa.eu/eli/reg/2020/852/oj/eng?utm_source=chatgpt.com" TargetMode="External"/><Relationship Id="rId132" Type="http://schemas.openxmlformats.org/officeDocument/2006/relationships/hyperlink" Target="https://eur-lex.europa.eu/legal-content/EN/AUTO/?uri=OJ:L:1994:365:TOC" TargetMode="External"/><Relationship Id="rId153" Type="http://schemas.openxmlformats.org/officeDocument/2006/relationships/hyperlink" Target="https://eur-lex.europa.eu/eli/reg/2020/852/oj/eng?utm_source=chatgpt.com" TargetMode="External"/><Relationship Id="rId174" Type="http://schemas.openxmlformats.org/officeDocument/2006/relationships/hyperlink" Target="https://eur-lex.europa.eu/legal-content/EN/AUTO/?uri=OJ:L:2010:020:TOC" TargetMode="External"/><Relationship Id="rId179" Type="http://schemas.openxmlformats.org/officeDocument/2006/relationships/hyperlink" Target="https://eur-lex.europa.eu/eli/reg/2020/852/oj/eng?utm_source=chatgpt.com" TargetMode="External"/><Relationship Id="rId195" Type="http://schemas.openxmlformats.org/officeDocument/2006/relationships/hyperlink" Target="https://eur-lex.europa.eu/eli/reg/2020/852/oj/eng?utm_source=chatgpt.com" TargetMode="External"/><Relationship Id="rId209" Type="http://schemas.openxmlformats.org/officeDocument/2006/relationships/hyperlink" Target="https://eur-lex.europa.eu/eli/reg/2020/852/oj/eng?utm_source=chatgpt.com" TargetMode="External"/><Relationship Id="rId190" Type="http://schemas.openxmlformats.org/officeDocument/2006/relationships/hyperlink" Target="https://eur-lex.europa.eu/legal-content/EN/AUTO/?uri=OJ:L:2009:285:TOC" TargetMode="External"/><Relationship Id="rId204" Type="http://schemas.openxmlformats.org/officeDocument/2006/relationships/hyperlink" Target="https://eur-lex.europa.eu/legal-content/EN/AUTO/?uri=OJ:L:2014:158:TOC" TargetMode="External"/><Relationship Id="rId220" Type="http://schemas.openxmlformats.org/officeDocument/2006/relationships/hyperlink" Target="https://eur-lex.europa.eu/legal-content/EN/AUTO/?uri=OJ:L:2014:352:TOC" TargetMode="External"/><Relationship Id="rId225" Type="http://schemas.openxmlformats.org/officeDocument/2006/relationships/hyperlink" Target="https://eur-lex.europa.eu/eli/reg/2020/852/oj/eng?utm_source=chatgpt.com" TargetMode="External"/><Relationship Id="rId15" Type="http://schemas.openxmlformats.org/officeDocument/2006/relationships/hyperlink" Target="https://eur-lex.europa.eu/eli/reg/2020/852/oj/eng?utm_source=chatgpt.com" TargetMode="External"/><Relationship Id="rId36" Type="http://schemas.openxmlformats.org/officeDocument/2006/relationships/hyperlink" Target="https://eur-lex.europa.eu/eli/reg/2020/852/oj/eng?utm_source=chatgpt.com" TargetMode="External"/><Relationship Id="rId57" Type="http://schemas.openxmlformats.org/officeDocument/2006/relationships/hyperlink" Target="https://eur-lex.europa.eu/eli/reg/2020/852/oj/eng?utm_source=chatgpt.com" TargetMode="External"/><Relationship Id="rId106" Type="http://schemas.openxmlformats.org/officeDocument/2006/relationships/hyperlink" Target="https://eur-lex.europa.eu/legal-content/EN/AUTO/?uri=OJ:L:2013:354:TOC" TargetMode="External"/><Relationship Id="rId127" Type="http://schemas.openxmlformats.org/officeDocument/2006/relationships/hyperlink" Target="https://eur-lex.europa.eu/eli/reg/2020/852/oj/eng?utm_source=chatgpt.com" TargetMode="External"/><Relationship Id="rId10" Type="http://schemas.openxmlformats.org/officeDocument/2006/relationships/hyperlink" Target="https://eur-lex.europa.eu/eli/reg/2020/852/oj/eng?utm_source=chatgpt.com" TargetMode="External"/><Relationship Id="rId31" Type="http://schemas.openxmlformats.org/officeDocument/2006/relationships/hyperlink" Target="https://eur-lex.europa.eu/eli/reg/2020/852/oj/eng?utm_source=chatgpt.com" TargetMode="External"/><Relationship Id="rId52" Type="http://schemas.openxmlformats.org/officeDocument/2006/relationships/hyperlink" Target="https://eur-lex.europa.eu/eli/reg/2020/852/oj/eng?utm_source=chatgpt.com" TargetMode="External"/><Relationship Id="rId73" Type="http://schemas.openxmlformats.org/officeDocument/2006/relationships/hyperlink" Target="https://eur-lex.europa.eu/eli/reg/2020/852/oj/eng?utm_source=chatgpt.com" TargetMode="External"/><Relationship Id="rId78" Type="http://schemas.openxmlformats.org/officeDocument/2006/relationships/hyperlink" Target="https://eur-lex.europa.eu/eli/reg/2020/852/oj/eng?utm_source=chatgpt.com" TargetMode="External"/><Relationship Id="rId94" Type="http://schemas.openxmlformats.org/officeDocument/2006/relationships/hyperlink" Target="https://eur-lex.europa.eu/legal-content/EN/AUTO/?uri=OJ:L:2016:282:TOC" TargetMode="External"/><Relationship Id="rId99" Type="http://schemas.openxmlformats.org/officeDocument/2006/relationships/hyperlink" Target="https://eur-lex.europa.eu/eli/reg/2020/852/oj/eng?utm_source=chatgpt.com" TargetMode="External"/><Relationship Id="rId101" Type="http://schemas.openxmlformats.org/officeDocument/2006/relationships/hyperlink" Target="https://eur-lex.europa.eu/eli/reg/2020/852/oj/eng?utm_source=chatgpt.com" TargetMode="External"/><Relationship Id="rId122" Type="http://schemas.openxmlformats.org/officeDocument/2006/relationships/hyperlink" Target="https://eur-lex.europa.eu/legal-content/EN/AUTO/?uri=OJ:L:1998:330:TOC" TargetMode="External"/><Relationship Id="rId143" Type="http://schemas.openxmlformats.org/officeDocument/2006/relationships/hyperlink" Target="https://eur-lex.europa.eu/eli/reg/2020/852/oj/eng?utm_source=chatgpt.com" TargetMode="External"/><Relationship Id="rId148" Type="http://schemas.openxmlformats.org/officeDocument/2006/relationships/hyperlink" Target="https://eur-lex.europa.eu/legal-content/EN/AUTO/?uri=OJ:L:2019:155:TOC" TargetMode="External"/><Relationship Id="rId164" Type="http://schemas.openxmlformats.org/officeDocument/2006/relationships/hyperlink" Target="https://eur-lex.europa.eu/legal-content/EN/AUTO/?uri=OJ:L:2016:132:TOC" TargetMode="External"/><Relationship Id="rId169" Type="http://schemas.openxmlformats.org/officeDocument/2006/relationships/hyperlink" Target="https://eur-lex.europa.eu/eli/reg/2020/852/oj/eng?utm_source=chatgpt.com" TargetMode="External"/><Relationship Id="rId185" Type="http://schemas.openxmlformats.org/officeDocument/2006/relationships/hyperlink" Target="https://eur-lex.europa.eu/eli/reg/2020/852/oj/eng?utm_source=chatgpt.com" TargetMode="External"/><Relationship Id="rId4" Type="http://schemas.openxmlformats.org/officeDocument/2006/relationships/hyperlink" Target="https://eur-lex.europa.eu/eli/reg/2020/852/oj/eng?utm_source=chatgpt.com" TargetMode="External"/><Relationship Id="rId9" Type="http://schemas.openxmlformats.org/officeDocument/2006/relationships/hyperlink" Target="https://eur-lex.europa.eu/eli/reg/2020/852/oj/eng?utm_source=chatgpt.com" TargetMode="External"/><Relationship Id="rId180" Type="http://schemas.openxmlformats.org/officeDocument/2006/relationships/hyperlink" Target="https://eur-lex.europa.eu/legal-content/EN/AUTO/?uri=OJ:L:2018:156:TOC" TargetMode="External"/><Relationship Id="rId210" Type="http://schemas.openxmlformats.org/officeDocument/2006/relationships/hyperlink" Target="https://eur-lex.europa.eu/legal-content/EN/AUTO/?uri=OJ:L:2014:094:TOC" TargetMode="External"/><Relationship Id="rId215" Type="http://schemas.openxmlformats.org/officeDocument/2006/relationships/hyperlink" Target="https://eur-lex.europa.eu/eli/reg/2020/852/oj/eng?utm_source=chatgpt.com" TargetMode="External"/><Relationship Id="rId26" Type="http://schemas.openxmlformats.org/officeDocument/2006/relationships/hyperlink" Target="https://eur-lex.europa.eu/eli/reg/2020/852/oj/eng?utm_source=chatgpt.com" TargetMode="External"/><Relationship Id="rId47" Type="http://schemas.openxmlformats.org/officeDocument/2006/relationships/hyperlink" Target="https://eur-lex.europa.eu/eli/reg/2020/852/oj/eng?utm_source=chatgpt.com" TargetMode="External"/><Relationship Id="rId68" Type="http://schemas.openxmlformats.org/officeDocument/2006/relationships/hyperlink" Target="https://eur-lex.europa.eu/eli/reg/2020/852/oj/eng?utm_source=chatgpt.com" TargetMode="External"/><Relationship Id="rId89" Type="http://schemas.openxmlformats.org/officeDocument/2006/relationships/hyperlink" Target="https://eur-lex.europa.eu/eli/reg/2020/852/oj/eng?utm_source=chatgpt.com" TargetMode="External"/><Relationship Id="rId112" Type="http://schemas.openxmlformats.org/officeDocument/2006/relationships/hyperlink" Target="https://eur-lex.europa.eu/legal-content/EN/AUTO/?uri=OJ:L:2006:372:TOC" TargetMode="External"/><Relationship Id="rId133" Type="http://schemas.openxmlformats.org/officeDocument/2006/relationships/hyperlink" Target="https://eur-lex.europa.eu/eli/reg/2020/852/oj/eng?utm_source=chatgpt.com" TargetMode="External"/><Relationship Id="rId154" Type="http://schemas.openxmlformats.org/officeDocument/2006/relationships/hyperlink" Target="https://eur-lex.europa.eu/legal-content/EN/AUTO/?uri=OJ:L:2000:226:TOC" TargetMode="External"/><Relationship Id="rId175" Type="http://schemas.openxmlformats.org/officeDocument/2006/relationships/hyperlink" Target="https://eur-lex.europa.eu/eli/reg/2020/852/oj/eng?utm_source=chatgpt.com" TargetMode="External"/><Relationship Id="rId196" Type="http://schemas.openxmlformats.org/officeDocument/2006/relationships/hyperlink" Target="https://eur-lex.europa.eu/legal-content/EN/AUTO/?uri=OJ:L:2010:331:TOC" TargetMode="External"/><Relationship Id="rId200" Type="http://schemas.openxmlformats.org/officeDocument/2006/relationships/hyperlink" Target="https://eur-lex.europa.eu/legal-content/EN/AUTO/?uri=OJ:L:2010:027:TOC" TargetMode="External"/><Relationship Id="rId16" Type="http://schemas.openxmlformats.org/officeDocument/2006/relationships/hyperlink" Target="https://eur-lex.europa.eu/eli/reg/2020/852/oj/eng?utm_source=chatgpt.com" TargetMode="External"/><Relationship Id="rId221" Type="http://schemas.openxmlformats.org/officeDocument/2006/relationships/hyperlink" Target="https://eur-lex.europa.eu/eli/reg/2020/852/oj/eng?utm_source=chatgpt.com" TargetMode="External"/><Relationship Id="rId37" Type="http://schemas.openxmlformats.org/officeDocument/2006/relationships/hyperlink" Target="https://eur-lex.europa.eu/eli/reg/2020/852/oj/eng?utm_source=chatgpt.com" TargetMode="External"/><Relationship Id="rId58" Type="http://schemas.openxmlformats.org/officeDocument/2006/relationships/hyperlink" Target="https://eur-lex.europa.eu/eli/reg/2020/852/oj/eng?utm_source=chatgpt.com" TargetMode="External"/><Relationship Id="rId79" Type="http://schemas.openxmlformats.org/officeDocument/2006/relationships/hyperlink" Target="https://eur-lex.europa.eu/eli/reg/2020/852/oj/eng?utm_source=chatgpt.com" TargetMode="External"/><Relationship Id="rId102" Type="http://schemas.openxmlformats.org/officeDocument/2006/relationships/hyperlink" Target="https://eur-lex.europa.eu/legal-content/EN/AUTO/?uri=OJ:C:2020:076:TOC" TargetMode="External"/><Relationship Id="rId123" Type="http://schemas.openxmlformats.org/officeDocument/2006/relationships/hyperlink" Target="https://eur-lex.europa.eu/eli/reg/2020/852/oj/eng?utm_source=chatgpt.com" TargetMode="External"/><Relationship Id="rId144" Type="http://schemas.openxmlformats.org/officeDocument/2006/relationships/hyperlink" Target="https://eur-lex.europa.eu/legal-content/EN/AUTO/?uri=OJ:L:2012:197:TOC" TargetMode="External"/><Relationship Id="rId90" Type="http://schemas.openxmlformats.org/officeDocument/2006/relationships/hyperlink" Target="https://eur-lex.europa.eu/legal-content/EN/AUTO/?uri=OJ:C:2019:062:TOC" TargetMode="External"/><Relationship Id="rId165" Type="http://schemas.openxmlformats.org/officeDocument/2006/relationships/hyperlink" Target="https://eur-lex.europa.eu/eli/reg/2020/852/oj/eng?utm_source=chatgpt.com" TargetMode="External"/><Relationship Id="rId186" Type="http://schemas.openxmlformats.org/officeDocument/2006/relationships/hyperlink" Target="https://eur-lex.europa.eu/legal-content/EN/AUTO/?uri=OJ:L:2012:315:TOC" TargetMode="External"/><Relationship Id="rId211" Type="http://schemas.openxmlformats.org/officeDocument/2006/relationships/hyperlink" Target="https://eur-lex.europa.eu/eli/reg/2020/852/oj/eng?utm_source=chatgpt.com" TargetMode="External"/><Relationship Id="rId27" Type="http://schemas.openxmlformats.org/officeDocument/2006/relationships/hyperlink" Target="https://eur-lex.europa.eu/eli/reg/2020/852/oj/eng?utm_source=chatgpt.com" TargetMode="External"/><Relationship Id="rId48" Type="http://schemas.openxmlformats.org/officeDocument/2006/relationships/hyperlink" Target="https://eur-lex.europa.eu/eli/reg/2020/852/oj/eng?utm_source=chatgpt.com" TargetMode="External"/><Relationship Id="rId69" Type="http://schemas.openxmlformats.org/officeDocument/2006/relationships/hyperlink" Target="https://eur-lex.europa.eu/eli/reg/2020/852/oj/eng?utm_source=chatgpt.com" TargetMode="External"/><Relationship Id="rId113" Type="http://schemas.openxmlformats.org/officeDocument/2006/relationships/hyperlink" Target="https://eur-lex.europa.eu/eli/reg/2020/852/oj/eng?utm_source=chatgpt.com" TargetMode="External"/><Relationship Id="rId134" Type="http://schemas.openxmlformats.org/officeDocument/2006/relationships/hyperlink" Target="https://eur-lex.europa.eu/legal-content/EN/AUTO/?uri=OJ:L:2000:269:TOC" TargetMode="External"/><Relationship Id="rId80" Type="http://schemas.openxmlformats.org/officeDocument/2006/relationships/hyperlink" Target="https://eur-lex.europa.eu/eli/reg/2020/852/oj/eng?utm_source=chatgpt.com" TargetMode="External"/><Relationship Id="rId155" Type="http://schemas.openxmlformats.org/officeDocument/2006/relationships/hyperlink" Target="https://eur-lex.europa.eu/eli/reg/2020/852/oj/eng?utm_source=chatgpt.com" TargetMode="External"/><Relationship Id="rId176" Type="http://schemas.openxmlformats.org/officeDocument/2006/relationships/hyperlink" Target="https://eur-lex.europa.eu/legal-content/EN/AUTO/?uri=OJ:L:1997:061:TOC" TargetMode="External"/><Relationship Id="rId197" Type="http://schemas.openxmlformats.org/officeDocument/2006/relationships/hyperlink" Target="https://eur-lex.europa.eu/eli/reg/2020/852/oj/eng?utm_source=chatgpt.com" TargetMode="External"/><Relationship Id="rId201" Type="http://schemas.openxmlformats.org/officeDocument/2006/relationships/hyperlink" Target="https://eur-lex.europa.eu/eli/reg/2020/852/oj/eng?utm_source=chatgpt.com" TargetMode="External"/><Relationship Id="rId222" Type="http://schemas.openxmlformats.org/officeDocument/2006/relationships/hyperlink" Target="https://eur-lex.europa.eu/legal-content/EN/AUTO/?uri=OJ:L:2019:198:TOC" TargetMode="External"/><Relationship Id="rId17" Type="http://schemas.openxmlformats.org/officeDocument/2006/relationships/hyperlink" Target="https://eur-lex.europa.eu/eli/reg/2020/852/oj/eng?utm_source=chatgpt.com" TargetMode="External"/><Relationship Id="rId38" Type="http://schemas.openxmlformats.org/officeDocument/2006/relationships/hyperlink" Target="https://eur-lex.europa.eu/eli/reg/2020/852/oj/eng?utm_source=chatgpt.com" TargetMode="External"/><Relationship Id="rId59" Type="http://schemas.openxmlformats.org/officeDocument/2006/relationships/hyperlink" Target="https://eur-lex.europa.eu/eli/reg/2020/852/oj/eng?utm_source=chatgpt.com" TargetMode="External"/><Relationship Id="rId103" Type="http://schemas.openxmlformats.org/officeDocument/2006/relationships/hyperlink" Target="https://eur-lex.europa.eu/eli/reg/2020/852/oj/eng?utm_source=chatgpt.com" TargetMode="External"/><Relationship Id="rId124" Type="http://schemas.openxmlformats.org/officeDocument/2006/relationships/hyperlink" Target="https://eur-lex.europa.eu/legal-content/EN/AUTO/?uri=OJ:L:2017:125:TOC" TargetMode="External"/><Relationship Id="rId70" Type="http://schemas.openxmlformats.org/officeDocument/2006/relationships/hyperlink" Target="https://eur-lex.europa.eu/eli/reg/2020/852/oj/eng?utm_source=chatgpt.com" TargetMode="External"/><Relationship Id="rId91" Type="http://schemas.openxmlformats.org/officeDocument/2006/relationships/hyperlink" Target="https://eur-lex.europa.eu/eli/reg/2020/852/oj/eng?utm_source=chatgpt.com" TargetMode="External"/><Relationship Id="rId145" Type="http://schemas.openxmlformats.org/officeDocument/2006/relationships/hyperlink" Target="https://eur-lex.europa.eu/eli/reg/2020/852/oj/eng?utm_source=chatgpt.com" TargetMode="External"/><Relationship Id="rId166" Type="http://schemas.openxmlformats.org/officeDocument/2006/relationships/hyperlink" Target="https://eur-lex.europa.eu/legal-content/EN/AUTO/?uri=OJ:L:2016:344:TOC" TargetMode="External"/><Relationship Id="rId187" Type="http://schemas.openxmlformats.org/officeDocument/2006/relationships/hyperlink" Target="https://eur-lex.europa.eu/eli/reg/2020/852/oj/eng?utm_source=chatgpt.com" TargetMode="External"/><Relationship Id="rId1" Type="http://schemas.openxmlformats.org/officeDocument/2006/relationships/styles" Target="styles.xml"/><Relationship Id="rId212" Type="http://schemas.openxmlformats.org/officeDocument/2006/relationships/hyperlink" Target="https://eur-lex.europa.eu/legal-content/EN/AUTO/?uri=OJ:L:2014:094:TOC" TargetMode="External"/><Relationship Id="rId28" Type="http://schemas.openxmlformats.org/officeDocument/2006/relationships/hyperlink" Target="https://eur-lex.europa.eu/eli/reg/2020/852/oj/eng?utm_source=chatgpt.com" TargetMode="External"/><Relationship Id="rId49" Type="http://schemas.openxmlformats.org/officeDocument/2006/relationships/hyperlink" Target="https://eur-lex.europa.eu/eli/reg/2020/852/oj/eng?utm_source=chatgpt.com" TargetMode="External"/><Relationship Id="rId114" Type="http://schemas.openxmlformats.org/officeDocument/2006/relationships/hyperlink" Target="https://eur-lex.europa.eu/legal-content/EN/AUTO/?uri=OJ:L:2008:164:TOC" TargetMode="External"/><Relationship Id="rId60" Type="http://schemas.openxmlformats.org/officeDocument/2006/relationships/hyperlink" Target="https://eur-lex.europa.eu/eli/reg/2020/852/oj/eng?utm_source=chatgpt.com" TargetMode="External"/><Relationship Id="rId81" Type="http://schemas.openxmlformats.org/officeDocument/2006/relationships/hyperlink" Target="https://eur-lex.europa.eu/eli/reg/2020/852/oj/eng?utm_source=chatgpt.com" TargetMode="External"/><Relationship Id="rId135" Type="http://schemas.openxmlformats.org/officeDocument/2006/relationships/hyperlink" Target="https://eur-lex.europa.eu/eli/reg/2020/852/oj/eng?utm_source=chatgpt.com" TargetMode="External"/><Relationship Id="rId156" Type="http://schemas.openxmlformats.org/officeDocument/2006/relationships/hyperlink" Target="https://eur-lex.europa.eu/legal-content/EN/AUTO/?uri=OJ:L:2014:370:TOC" TargetMode="External"/><Relationship Id="rId177" Type="http://schemas.openxmlformats.org/officeDocument/2006/relationships/hyperlink" Target="https://eur-lex.europa.eu/eli/reg/2020/852/oj/eng?utm_source=chatgpt.com" TargetMode="External"/><Relationship Id="rId198" Type="http://schemas.openxmlformats.org/officeDocument/2006/relationships/hyperlink" Target="https://eur-lex.europa.eu/legal-content/EN/AUTO/?uri=OJ:L:2009:342:TOC" TargetMode="External"/><Relationship Id="rId202" Type="http://schemas.openxmlformats.org/officeDocument/2006/relationships/hyperlink" Target="https://eur-lex.europa.eu/legal-content/EN/AUTO/?uri=OJ:L:2013:124:TOC" TargetMode="External"/><Relationship Id="rId223" Type="http://schemas.openxmlformats.org/officeDocument/2006/relationships/hyperlink" Target="https://eur-lex.europa.eu/eli/reg/2020/852/oj/eng?utm_source=chatgpt.com" TargetMode="External"/><Relationship Id="rId18" Type="http://schemas.openxmlformats.org/officeDocument/2006/relationships/hyperlink" Target="https://eur-lex.europa.eu/eli/reg/2020/852/oj/eng?utm_source=chatgpt.com" TargetMode="External"/><Relationship Id="rId39" Type="http://schemas.openxmlformats.org/officeDocument/2006/relationships/hyperlink" Target="https://eur-lex.europa.eu/eli/reg/2020/852/oj/eng?utm_source=chatgpt.com" TargetMode="External"/><Relationship Id="rId50" Type="http://schemas.openxmlformats.org/officeDocument/2006/relationships/hyperlink" Target="https://eur-lex.europa.eu/eli/reg/2020/852/oj/eng?utm_source=chatgpt.com" TargetMode="External"/><Relationship Id="rId104" Type="http://schemas.openxmlformats.org/officeDocument/2006/relationships/hyperlink" Target="https://eur-lex.europa.eu/legal-content/EN/AUTO/?uri=OJ:L:2009:140:TOC" TargetMode="External"/><Relationship Id="rId125" Type="http://schemas.openxmlformats.org/officeDocument/2006/relationships/hyperlink" Target="https://eur-lex.europa.eu/eli/reg/2020/852/oj/eng?utm_source=chatgpt.com" TargetMode="External"/><Relationship Id="rId146" Type="http://schemas.openxmlformats.org/officeDocument/2006/relationships/hyperlink" Target="https://eur-lex.europa.eu/legal-content/EN/AUTO/?uri=OJ:L:2019:151:TOC" TargetMode="External"/><Relationship Id="rId167" Type="http://schemas.openxmlformats.org/officeDocument/2006/relationships/hyperlink" Target="https://eur-lex.europa.eu/eli/reg/2020/852/oj/eng?utm_source=chatgpt.com" TargetMode="External"/><Relationship Id="rId188" Type="http://schemas.openxmlformats.org/officeDocument/2006/relationships/hyperlink" Target="https://eur-lex.europa.eu/legal-content/EN/AUTO/?uri=OJ:L:2018:156:TOC" TargetMode="External"/><Relationship Id="rId71" Type="http://schemas.openxmlformats.org/officeDocument/2006/relationships/hyperlink" Target="https://eur-lex.europa.eu/eli/reg/2020/852/oj/eng?utm_source=chatgpt.com" TargetMode="External"/><Relationship Id="rId92" Type="http://schemas.openxmlformats.org/officeDocument/2006/relationships/hyperlink" Target="https://eur-lex.europa.eu/legal-content/EN/AUTO/?uri=OJ:C:2020:184:TOC" TargetMode="External"/><Relationship Id="rId213" Type="http://schemas.openxmlformats.org/officeDocument/2006/relationships/hyperlink" Target="https://eur-lex.europa.eu/eli/reg/2020/852/oj/eng?utm_source=chatgpt.com" TargetMode="External"/><Relationship Id="rId2" Type="http://schemas.openxmlformats.org/officeDocument/2006/relationships/settings" Target="settings.xml"/><Relationship Id="rId29" Type="http://schemas.openxmlformats.org/officeDocument/2006/relationships/hyperlink" Target="https://eur-lex.europa.eu/eli/reg/2020/852/oj/eng?utm_source=chatgpt.com" TargetMode="External"/><Relationship Id="rId40" Type="http://schemas.openxmlformats.org/officeDocument/2006/relationships/hyperlink" Target="https://eur-lex.europa.eu/eli/reg/2020/852/oj/eng?utm_source=chatgpt.com" TargetMode="External"/><Relationship Id="rId115" Type="http://schemas.openxmlformats.org/officeDocument/2006/relationships/hyperlink" Target="https://eur-lex.europa.eu/eli/reg/2020/852/oj/eng?utm_source=chatgpt.com" TargetMode="External"/><Relationship Id="rId136" Type="http://schemas.openxmlformats.org/officeDocument/2006/relationships/hyperlink" Target="https://eur-lex.europa.eu/legal-content/EN/AUTO/?uri=OJ:L:2006:266:TOC" TargetMode="External"/><Relationship Id="rId157" Type="http://schemas.openxmlformats.org/officeDocument/2006/relationships/hyperlink" Target="https://eur-lex.europa.eu/eli/reg/2020/852/oj/eng?utm_source=chatgpt.com" TargetMode="External"/><Relationship Id="rId178" Type="http://schemas.openxmlformats.org/officeDocument/2006/relationships/hyperlink" Target="https://eur-lex.europa.eu/legal-content/EN/AUTO/?uri=OJ:L:1992:206:TOC" TargetMode="External"/><Relationship Id="rId61" Type="http://schemas.openxmlformats.org/officeDocument/2006/relationships/hyperlink" Target="https://eur-lex.europa.eu/eli/reg/2020/852/oj/eng?utm_source=chatgpt.com" TargetMode="External"/><Relationship Id="rId82" Type="http://schemas.openxmlformats.org/officeDocument/2006/relationships/hyperlink" Target="https://eur-lex.europa.eu/eli/reg/2020/852/oj/eng?utm_source=chatgpt.com" TargetMode="External"/><Relationship Id="rId199" Type="http://schemas.openxmlformats.org/officeDocument/2006/relationships/hyperlink" Target="https://eur-lex.europa.eu/eli/reg/2020/852/oj/eng?utm_source=chatgpt.com" TargetMode="External"/><Relationship Id="rId203" Type="http://schemas.openxmlformats.org/officeDocument/2006/relationships/hyperlink" Target="https://eur-lex.europa.eu/eli/reg/2020/852/oj/eng?utm_source=chatgpt.com" TargetMode="External"/><Relationship Id="rId19" Type="http://schemas.openxmlformats.org/officeDocument/2006/relationships/hyperlink" Target="https://eur-lex.europa.eu/eli/reg/2020/852/oj/eng?utm_source=chatgpt.com" TargetMode="External"/><Relationship Id="rId224" Type="http://schemas.openxmlformats.org/officeDocument/2006/relationships/hyperlink" Target="https://eur-lex.europa.eu/legal-content/EN/AUTO/?uri=OJ:L:2013:182:TOC" TargetMode="External"/><Relationship Id="rId30" Type="http://schemas.openxmlformats.org/officeDocument/2006/relationships/hyperlink" Target="https://eur-lex.europa.eu/eli/reg/2020/852/oj/eng?utm_source=chatgpt.com" TargetMode="External"/><Relationship Id="rId105" Type="http://schemas.openxmlformats.org/officeDocument/2006/relationships/hyperlink" Target="https://eur-lex.europa.eu/eli/reg/2020/852/oj/eng?utm_source=chatgpt.com" TargetMode="External"/><Relationship Id="rId126" Type="http://schemas.openxmlformats.org/officeDocument/2006/relationships/hyperlink" Target="https://eur-lex.europa.eu/legal-content/EN/AUTO/?uri=OJ:L:2006:190:TOC" TargetMode="External"/><Relationship Id="rId147" Type="http://schemas.openxmlformats.org/officeDocument/2006/relationships/hyperlink" Target="https://eur-lex.europa.eu/eli/reg/2020/852/oj/eng?utm_source=chatgpt.com" TargetMode="External"/><Relationship Id="rId168" Type="http://schemas.openxmlformats.org/officeDocument/2006/relationships/hyperlink" Target="https://eur-lex.europa.eu/legal-content/EN/AUTO/?uri=OJ:L:2010:295:TOC" TargetMode="External"/><Relationship Id="rId51" Type="http://schemas.openxmlformats.org/officeDocument/2006/relationships/hyperlink" Target="https://eur-lex.europa.eu/eli/reg/2020/852/oj/eng?utm_source=chatgpt.com" TargetMode="External"/><Relationship Id="rId72" Type="http://schemas.openxmlformats.org/officeDocument/2006/relationships/hyperlink" Target="https://eur-lex.europa.eu/eli/reg/2020/852/oj/eng?utm_source=chatgpt.com" TargetMode="External"/><Relationship Id="rId93" Type="http://schemas.openxmlformats.org/officeDocument/2006/relationships/hyperlink" Target="https://eur-lex.europa.eu/eli/reg/2020/852/oj/eng?utm_source=chatgpt.com" TargetMode="External"/><Relationship Id="rId189" Type="http://schemas.openxmlformats.org/officeDocument/2006/relationships/hyperlink" Target="https://eur-lex.europa.eu/eli/reg/2020/852/oj/eng?utm_source=chatgpt.com" TargetMode="External"/><Relationship Id="rId3" Type="http://schemas.openxmlformats.org/officeDocument/2006/relationships/webSettings" Target="webSettings.xml"/><Relationship Id="rId214" Type="http://schemas.openxmlformats.org/officeDocument/2006/relationships/hyperlink" Target="https://eur-lex.europa.eu/legal-content/EN/AUTO/?uri=OJ:L:2014:094:TOC"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22145</Words>
  <Characters>126229</Characters>
  <Application>Microsoft Office Word</Application>
  <DocSecurity>0</DocSecurity>
  <Lines>1051</Lines>
  <Paragraphs>296</Paragraphs>
  <ScaleCrop>false</ScaleCrop>
  <Company/>
  <LinksUpToDate>false</LinksUpToDate>
  <CharactersWithSpaces>148078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Kadir Kemal YÖRÜK</dc:creator>
  <cp:keywords/>
  <dc:description/>
  <cp:lastModifiedBy>Kadir Kemal YÖRÜK</cp:lastModifiedBy>
  <cp:revision>2</cp:revision>
  <dcterms:created xsi:type="dcterms:W3CDTF">2025-08-14T13:15:00Z</dcterms:created>
  <dcterms:modified xsi:type="dcterms:W3CDTF">2025-08-14T13:15:00Z</dcterms:modified>
</cp:coreProperties>
</file>