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73EE" w:rsidRPr="006B73EE" w:rsidRDefault="006B73EE" w:rsidP="006B73EE">
      <w:pPr>
        <w:rPr>
          <w:b/>
          <w:bCs/>
        </w:rPr>
      </w:pPr>
      <w:r w:rsidRPr="006B73EE">
        <w:rPr>
          <w:b/>
          <w:bCs/>
        </w:rPr>
        <w:t>Emisyon Ticaret Sistemi</w:t>
      </w:r>
    </w:p>
    <w:p w:rsidR="006B73EE" w:rsidRPr="006B73EE" w:rsidRDefault="006B73EE" w:rsidP="006B73EE">
      <w:hyperlink r:id="rId4" w:history="1">
        <w:r w:rsidRPr="006B73EE">
          <w:rPr>
            <w:rStyle w:val="Kpr"/>
            <w:b/>
            <w:bCs/>
          </w:rPr>
          <w:t>AB</w:t>
        </w:r>
        <w:r w:rsidRPr="006B73EE">
          <w:rPr>
            <w:rStyle w:val="Kpr"/>
          </w:rPr>
          <w:t> </w:t>
        </w:r>
        <w:r w:rsidRPr="006B73EE">
          <w:rPr>
            <w:rStyle w:val="Kpr"/>
            <w:b/>
            <w:bCs/>
          </w:rPr>
          <w:t>Emisyon Ticaret Sistemi</w:t>
        </w:r>
      </w:hyperlink>
      <w:r w:rsidRPr="006B73EE">
        <w:t>, enerji yoğun sektörlerde faaliyet gösteren kirleticilerin (</w:t>
      </w:r>
      <w:proofErr w:type="spellStart"/>
      <w:r w:rsidRPr="006B73EE">
        <w:t>polluters</w:t>
      </w:r>
      <w:proofErr w:type="spellEnd"/>
      <w:r w:rsidRPr="006B73EE">
        <w:t xml:space="preserve">) </w:t>
      </w:r>
      <w:proofErr w:type="gramStart"/>
      <w:r w:rsidRPr="006B73EE">
        <w:t>emisyonları</w:t>
      </w:r>
      <w:proofErr w:type="gramEnd"/>
      <w:r w:rsidRPr="006B73EE">
        <w:t xml:space="preserve"> ile ilgili “sınırlama ve ticaret (</w:t>
      </w:r>
      <w:proofErr w:type="spellStart"/>
      <w:r w:rsidRPr="006B73EE">
        <w:t>cap</w:t>
      </w:r>
      <w:proofErr w:type="spellEnd"/>
      <w:r w:rsidRPr="006B73EE">
        <w:t xml:space="preserve"> </w:t>
      </w:r>
      <w:proofErr w:type="spellStart"/>
      <w:r w:rsidRPr="006B73EE">
        <w:t>and</w:t>
      </w:r>
      <w:proofErr w:type="spellEnd"/>
      <w:r w:rsidRPr="006B73EE">
        <w:t xml:space="preserve"> </w:t>
      </w:r>
      <w:proofErr w:type="spellStart"/>
      <w:r w:rsidRPr="006B73EE">
        <w:t>trade</w:t>
      </w:r>
      <w:proofErr w:type="spellEnd"/>
      <w:r w:rsidRPr="006B73EE">
        <w:t>)” mekanizması getiren dünyanın ilk karbon marketidir. </w:t>
      </w:r>
    </w:p>
    <w:p w:rsidR="006B73EE" w:rsidRPr="006B73EE" w:rsidRDefault="006B73EE" w:rsidP="006B73EE">
      <w:r w:rsidRPr="006B73EE">
        <w:t>2005 yılından beri yürürlükte olan </w:t>
      </w:r>
      <w:hyperlink r:id="rId5" w:history="1">
        <w:r w:rsidRPr="006B73EE">
          <w:rPr>
            <w:rStyle w:val="Kpr"/>
            <w:b/>
            <w:bCs/>
          </w:rPr>
          <w:t>AB</w:t>
        </w:r>
        <w:r w:rsidRPr="006B73EE">
          <w:rPr>
            <w:rStyle w:val="Kpr"/>
          </w:rPr>
          <w:t> </w:t>
        </w:r>
        <w:r w:rsidRPr="006B73EE">
          <w:rPr>
            <w:rStyle w:val="Kpr"/>
            <w:b/>
            <w:bCs/>
          </w:rPr>
          <w:t>Emisyon Ticaret Sistemi (ETS)</w:t>
        </w:r>
      </w:hyperlink>
      <w:r w:rsidRPr="006B73EE">
        <w:t>’</w:t>
      </w:r>
      <w:proofErr w:type="spellStart"/>
      <w:r w:rsidRPr="006B73EE">
        <w:t>nin</w:t>
      </w:r>
      <w:proofErr w:type="spellEnd"/>
      <w:r w:rsidRPr="006B73EE">
        <w:t xml:space="preserve"> güçlendirilerek genişletilmesi, tüketici davranışlarının değiştirilmesi, yeni teknolojilerin geliştirilmesi ve altyapıların kurulmasında lokomotif rolünü üstleniyor. AB Emisyon Ticaret Sistemi, bir taraftan enerji yoğun sektörlerin karbondan arındırılmasını teşvik ederken, diğer taraftan yeşil dönüşümün gerçekleşmesi için gerekli olan finansal kaynakları sağlar. </w:t>
      </w:r>
    </w:p>
    <w:p w:rsidR="006B73EE" w:rsidRPr="006B73EE" w:rsidRDefault="006B73EE" w:rsidP="006B73EE">
      <w:r w:rsidRPr="006B73EE">
        <w:t xml:space="preserve">Avrupa Komisyonu tarafından güçlendirilecek olan ETS </w:t>
      </w:r>
      <w:proofErr w:type="gramStart"/>
      <w:r w:rsidRPr="006B73EE">
        <w:t>ile,</w:t>
      </w:r>
      <w:proofErr w:type="gramEnd"/>
      <w:r w:rsidRPr="006B73EE">
        <w:t xml:space="preserve"> bu kapsama giren endüstrilerin emisyonlarının 2030 yılına kadar %61 azaltılması teklif edildi. Ayrıca 2023-2025 yılları arasında denizcilik sektörünün de kademeli olarak </w:t>
      </w:r>
      <w:proofErr w:type="spellStart"/>
      <w:r w:rsidRPr="006B73EE">
        <w:t>ETS’ye</w:t>
      </w:r>
      <w:proofErr w:type="spellEnd"/>
      <w:r w:rsidRPr="006B73EE">
        <w:t xml:space="preserve"> </w:t>
      </w:r>
      <w:proofErr w:type="gramStart"/>
      <w:r w:rsidRPr="006B73EE">
        <w:t>dahil</w:t>
      </w:r>
      <w:proofErr w:type="gramEnd"/>
      <w:r w:rsidRPr="006B73EE">
        <w:t xml:space="preserve"> edilmesi planlanıyor. 2012 yılından beri </w:t>
      </w:r>
      <w:proofErr w:type="spellStart"/>
      <w:r w:rsidRPr="006B73EE">
        <w:t>ETS’ye</w:t>
      </w:r>
      <w:proofErr w:type="spellEnd"/>
      <w:r w:rsidRPr="006B73EE">
        <w:t xml:space="preserve"> </w:t>
      </w:r>
      <w:proofErr w:type="gramStart"/>
      <w:r w:rsidRPr="006B73EE">
        <w:t>dahil</w:t>
      </w:r>
      <w:proofErr w:type="gramEnd"/>
      <w:r w:rsidRPr="006B73EE">
        <w:t xml:space="preserve"> olan havacılık sektöründeki ücretsiz tahsislerin kaldırılması da 55’e Uyum Paketi’nin hedefleri arasında yer alır. Avrupa dışına yapılan uçuşlar için küresel havacılık emisyonlarını düzenleyen Uluslararası Havacılık için </w:t>
      </w:r>
      <w:hyperlink r:id="rId6" w:history="1">
        <w:r w:rsidRPr="006B73EE">
          <w:rPr>
            <w:rStyle w:val="Kpr"/>
          </w:rPr>
          <w:t>Karbon Dengeleme ve Azaltma Planı</w:t>
        </w:r>
      </w:hyperlink>
      <w:r w:rsidRPr="006B73EE">
        <w:t xml:space="preserve">, Emisyon Ticaret Sistemi bünyesine </w:t>
      </w:r>
      <w:proofErr w:type="gramStart"/>
      <w:r w:rsidRPr="006B73EE">
        <w:t>dahil</w:t>
      </w:r>
      <w:proofErr w:type="gramEnd"/>
      <w:r w:rsidRPr="006B73EE">
        <w:t xml:space="preserve"> edilecek.</w:t>
      </w:r>
    </w:p>
    <w:p w:rsidR="006B73EE" w:rsidRPr="006B73EE" w:rsidRDefault="006B73EE" w:rsidP="006B73EE">
      <w:r w:rsidRPr="006B73EE">
        <w:t xml:space="preserve">55’e Uyum Paketi </w:t>
      </w:r>
      <w:proofErr w:type="gramStart"/>
      <w:r w:rsidRPr="006B73EE">
        <w:t>ile,</w:t>
      </w:r>
      <w:proofErr w:type="gramEnd"/>
      <w:r w:rsidRPr="006B73EE">
        <w:t xml:space="preserve"> endüstri, ulaşım, binalar ve enerji alanlarında birbirini destekler adımların atılmasını hedefliyor. AB’nin en büyük </w:t>
      </w:r>
      <w:proofErr w:type="gramStart"/>
      <w:r w:rsidRPr="006B73EE">
        <w:t>emisyon</w:t>
      </w:r>
      <w:proofErr w:type="gramEnd"/>
      <w:r w:rsidRPr="006B73EE">
        <w:t xml:space="preserve"> kaynaklarından birisi olan karayolu taşımacılığı ve inşaat sektörü, aynı zamanda çok sayıda kişiye istihdam sağlıyor. Emisyon Ticaret Sistemi’nin bu sektörleri kapsayacak şekilde genişletilmesi sayesinde elektrikli araçlar ve ısı pompası gibi yenilikçi teknolojilerin karayolu taşımacılığı ve binalarda yaygınlaşmasını bekleniyor. Özellikle karayolu taşımacılığında daha düşük karbon içeren yakıtlara yönelik teşviklerin getirilmesi </w:t>
      </w:r>
      <w:proofErr w:type="gramStart"/>
      <w:r w:rsidRPr="006B73EE">
        <w:t>ile,</w:t>
      </w:r>
      <w:proofErr w:type="gramEnd"/>
      <w:r w:rsidRPr="006B73EE">
        <w:t xml:space="preserve"> araçlardan kaynaklı emisyonların azaltılması hedefleniyor. Ayrıca fosil yakıtlara getirilecek olan karbon ücretleri tek başına tüketici davranışlarını değiştirmeyeceğinden, hızlı bir şekilde alternatif yakıt ve şarj istasyonlarının kurulması AB’nin öncelikli hedefleri arasında yer alıyor. </w:t>
      </w:r>
    </w:p>
    <w:p w:rsidR="006B73EE" w:rsidRPr="006B73EE" w:rsidRDefault="006B73EE" w:rsidP="006B73EE">
      <w:pPr>
        <w:rPr>
          <w:b/>
          <w:bCs/>
        </w:rPr>
      </w:pPr>
      <w:r w:rsidRPr="006B73EE">
        <w:rPr>
          <w:b/>
          <w:bCs/>
        </w:rPr>
        <w:t xml:space="preserve">Binalar ve Karayolu Taşımacılığının </w:t>
      </w:r>
      <w:proofErr w:type="spellStart"/>
      <w:r w:rsidRPr="006B73EE">
        <w:rPr>
          <w:b/>
          <w:bCs/>
        </w:rPr>
        <w:t>ETS’ye</w:t>
      </w:r>
      <w:proofErr w:type="spellEnd"/>
      <w:r w:rsidRPr="006B73EE">
        <w:rPr>
          <w:b/>
          <w:bCs/>
        </w:rPr>
        <w:t xml:space="preserve"> </w:t>
      </w:r>
      <w:proofErr w:type="gramStart"/>
      <w:r w:rsidRPr="006B73EE">
        <w:rPr>
          <w:b/>
          <w:bCs/>
        </w:rPr>
        <w:t>Dahil</w:t>
      </w:r>
      <w:proofErr w:type="gramEnd"/>
      <w:r w:rsidRPr="006B73EE">
        <w:rPr>
          <w:b/>
          <w:bCs/>
        </w:rPr>
        <w:t xml:space="preserve"> Edilmesi</w:t>
      </w:r>
    </w:p>
    <w:p w:rsidR="006B73EE" w:rsidRPr="006B73EE" w:rsidRDefault="006B73EE" w:rsidP="006B73EE">
      <w:r w:rsidRPr="006B73EE">
        <w:t xml:space="preserve">Binaların ısınmasında kullanılan fosil yakıtların da </w:t>
      </w:r>
      <w:proofErr w:type="spellStart"/>
      <w:r w:rsidRPr="006B73EE">
        <w:t>ETS’ye</w:t>
      </w:r>
      <w:proofErr w:type="spellEnd"/>
      <w:r w:rsidRPr="006B73EE">
        <w:t xml:space="preserve"> </w:t>
      </w:r>
      <w:proofErr w:type="gramStart"/>
      <w:r w:rsidRPr="006B73EE">
        <w:t>dahil</w:t>
      </w:r>
      <w:proofErr w:type="gramEnd"/>
      <w:r w:rsidRPr="006B73EE">
        <w:t xml:space="preserve"> edilmesi ile ısınmada daha çevreci alternatiflerin yaygınlaştırılması amaçlanıyor. Aynı zamanda, binaların enerji verimliliğini de ilgilendiren bu düzenleme ile ısı yalıtımı açısından binaların yenilenmesi teşvik edilecek. Bu kapsamda Avrupa Komisyonu, 2026 yılından itibaren binaları ve karayolu taşımacılığını </w:t>
      </w:r>
      <w:proofErr w:type="spellStart"/>
      <w:r w:rsidRPr="006B73EE">
        <w:t>ETS’ye</w:t>
      </w:r>
      <w:proofErr w:type="spellEnd"/>
      <w:r w:rsidRPr="006B73EE">
        <w:t xml:space="preserve"> </w:t>
      </w:r>
      <w:proofErr w:type="gramStart"/>
      <w:r w:rsidRPr="006B73EE">
        <w:t>dahil</w:t>
      </w:r>
      <w:proofErr w:type="gramEnd"/>
      <w:r w:rsidRPr="006B73EE">
        <w:t xml:space="preserve"> etmek istiyor. Getirilecek düzenlemeden kaynaklı fiyat artışlarından son tüketicilerin doğrudan etkilenmemesi için karbon ücretlerinin yakıt tedarikçilerine yansıtılması planlanıyor. </w:t>
      </w:r>
    </w:p>
    <w:p w:rsidR="006B73EE" w:rsidRPr="006B73EE" w:rsidRDefault="006B73EE" w:rsidP="006B73EE">
      <w:pPr>
        <w:rPr>
          <w:b/>
          <w:bCs/>
        </w:rPr>
      </w:pPr>
      <w:r w:rsidRPr="006B73EE">
        <w:rPr>
          <w:b/>
          <w:bCs/>
        </w:rPr>
        <w:t xml:space="preserve">Denizciliğin </w:t>
      </w:r>
      <w:proofErr w:type="spellStart"/>
      <w:r w:rsidRPr="006B73EE">
        <w:rPr>
          <w:b/>
          <w:bCs/>
        </w:rPr>
        <w:t>ETS’ye</w:t>
      </w:r>
      <w:proofErr w:type="spellEnd"/>
      <w:r w:rsidRPr="006B73EE">
        <w:rPr>
          <w:b/>
          <w:bCs/>
        </w:rPr>
        <w:t xml:space="preserve"> </w:t>
      </w:r>
      <w:proofErr w:type="gramStart"/>
      <w:r w:rsidRPr="006B73EE">
        <w:rPr>
          <w:b/>
          <w:bCs/>
        </w:rPr>
        <w:t>Dahil</w:t>
      </w:r>
      <w:proofErr w:type="gramEnd"/>
      <w:r w:rsidRPr="006B73EE">
        <w:rPr>
          <w:b/>
          <w:bCs/>
        </w:rPr>
        <w:t xml:space="preserve"> Edilmesi</w:t>
      </w:r>
    </w:p>
    <w:p w:rsidR="006B73EE" w:rsidRPr="006B73EE" w:rsidRDefault="006B73EE" w:rsidP="006B73EE">
      <w:hyperlink r:id="rId7" w:history="1">
        <w:proofErr w:type="spellStart"/>
        <w:r w:rsidRPr="006B73EE">
          <w:rPr>
            <w:rStyle w:val="Kpr"/>
          </w:rPr>
          <w:t>FuelEU</w:t>
        </w:r>
        <w:proofErr w:type="spellEnd"/>
        <w:r w:rsidRPr="006B73EE">
          <w:rPr>
            <w:rStyle w:val="Kpr"/>
          </w:rPr>
          <w:t xml:space="preserve"> Denizcilik</w:t>
        </w:r>
      </w:hyperlink>
      <w:r w:rsidRPr="006B73EE">
        <w:t xml:space="preserve"> ile bayrağına bakılmaksızın Avrupa Birliği limanlarına gelen gemilere yönelik daha katı </w:t>
      </w:r>
      <w:proofErr w:type="gramStart"/>
      <w:r w:rsidRPr="006B73EE">
        <w:t>emisyon</w:t>
      </w:r>
      <w:proofErr w:type="gramEnd"/>
      <w:r w:rsidRPr="006B73EE">
        <w:t xml:space="preserve"> standartları getirilmesi hedefleniyor. Zaman içerisinde daralacak olan </w:t>
      </w:r>
      <w:proofErr w:type="gramStart"/>
      <w:r w:rsidRPr="006B73EE">
        <w:t>emisyon</w:t>
      </w:r>
      <w:proofErr w:type="gramEnd"/>
      <w:r w:rsidRPr="006B73EE">
        <w:t xml:space="preserve"> limitleri ile gemilerin alternatif yakıtlara geçmesi teşvik edilecek. Enerji Vergilendirme </w:t>
      </w:r>
      <w:proofErr w:type="spellStart"/>
      <w:r w:rsidRPr="006B73EE">
        <w:t>Direktifi’nde</w:t>
      </w:r>
      <w:proofErr w:type="spellEnd"/>
      <w:r w:rsidRPr="006B73EE">
        <w:t xml:space="preserve"> yapılacak değişiklikler ile gelişmiş </w:t>
      </w:r>
      <w:proofErr w:type="spellStart"/>
      <w:r w:rsidRPr="006B73EE">
        <w:t>biyoyakıtlarların</w:t>
      </w:r>
      <w:proofErr w:type="spellEnd"/>
      <w:r w:rsidRPr="006B73EE">
        <w:t xml:space="preserve"> geliştirilmesi denizcilik sektörünün düşük </w:t>
      </w:r>
      <w:proofErr w:type="gramStart"/>
      <w:r w:rsidRPr="006B73EE">
        <w:t>emisyonlu</w:t>
      </w:r>
      <w:proofErr w:type="gramEnd"/>
      <w:r w:rsidRPr="006B73EE">
        <w:t xml:space="preserve"> yakıtlara geçişini kolaylaştıracak.</w:t>
      </w:r>
    </w:p>
    <w:p w:rsidR="006B73EE" w:rsidRPr="006B73EE" w:rsidRDefault="006B73EE" w:rsidP="006B73EE">
      <w:pPr>
        <w:rPr>
          <w:b/>
          <w:bCs/>
        </w:rPr>
      </w:pPr>
      <w:proofErr w:type="spellStart"/>
      <w:r w:rsidRPr="006B73EE">
        <w:rPr>
          <w:b/>
          <w:bCs/>
        </w:rPr>
        <w:t>ETS’de</w:t>
      </w:r>
      <w:proofErr w:type="spellEnd"/>
      <w:r w:rsidRPr="006B73EE">
        <w:rPr>
          <w:b/>
          <w:bCs/>
        </w:rPr>
        <w:t xml:space="preserve"> Yer Alan Havacılık ile İlgili Yeni Düzenlemeler</w:t>
      </w:r>
    </w:p>
    <w:p w:rsidR="006B73EE" w:rsidRPr="006B73EE" w:rsidRDefault="006B73EE" w:rsidP="006B73EE">
      <w:r w:rsidRPr="006B73EE">
        <w:t xml:space="preserve">Havacılık (2012’de </w:t>
      </w:r>
      <w:proofErr w:type="spellStart"/>
      <w:r w:rsidRPr="006B73EE">
        <w:t>ETS’ye</w:t>
      </w:r>
      <w:proofErr w:type="spellEnd"/>
      <w:r w:rsidRPr="006B73EE">
        <w:t xml:space="preserve"> </w:t>
      </w:r>
      <w:proofErr w:type="gramStart"/>
      <w:r w:rsidRPr="006B73EE">
        <w:t>dahil</w:t>
      </w:r>
      <w:proofErr w:type="gramEnd"/>
      <w:r w:rsidRPr="006B73EE">
        <w:t xml:space="preserve"> edildi) ve denizcilik sektörünün Emisyon Ticaret Sistemi’ne dahil edilmesiyle birlikte artacak olan fosil yakıt fiyatlarından AB vatandaşlarının olumsuz etkilenmemesi için sürdürülebilir yakıtların geliştirilmesi ve bunların maliyet-etkin bir şekilde kullanıcılara sunulması </w:t>
      </w:r>
      <w:r w:rsidRPr="006B73EE">
        <w:lastRenderedPageBreak/>
        <w:t>gerekiyor. </w:t>
      </w:r>
      <w:proofErr w:type="spellStart"/>
      <w:r w:rsidRPr="006B73EE">
        <w:fldChar w:fldCharType="begin"/>
      </w:r>
      <w:r w:rsidRPr="006B73EE">
        <w:instrText xml:space="preserve"> HYPERLINK "https://ec.europa.eu/info/law/better-regulation/have-your-say/initiatives/12303-Sustainable-aviation-fuels-ReFuelEU-Aviation_en" </w:instrText>
      </w:r>
      <w:r w:rsidRPr="006B73EE">
        <w:fldChar w:fldCharType="separate"/>
      </w:r>
      <w:r w:rsidRPr="006B73EE">
        <w:rPr>
          <w:rStyle w:val="Kpr"/>
        </w:rPr>
        <w:t>ReFuelEU</w:t>
      </w:r>
      <w:proofErr w:type="spellEnd"/>
      <w:r w:rsidRPr="006B73EE">
        <w:rPr>
          <w:rStyle w:val="Kpr"/>
        </w:rPr>
        <w:t xml:space="preserve"> Havacılık</w:t>
      </w:r>
      <w:r w:rsidRPr="006B73EE">
        <w:fldChar w:fldCharType="end"/>
      </w:r>
      <w:r w:rsidRPr="006B73EE">
        <w:t xml:space="preserve"> düzenlemesi ile birlikte yakıt tedarikçiler, havaalanlarında sundukları yakıtların içerisindeki sürdürülebilir yakıtların oranını artırmakla mükellef tutulacaklar. Benzer şekilde e-yakıt olarak bilinen sentetik yakıtların kullanılması da teşvik edilecek. Ayrıca havacılık endüstrisinin de, hidrojen ve elektrik gibi daha düşük </w:t>
      </w:r>
      <w:proofErr w:type="gramStart"/>
      <w:r w:rsidRPr="006B73EE">
        <w:t>emisyonlu</w:t>
      </w:r>
      <w:proofErr w:type="gramEnd"/>
      <w:r w:rsidRPr="006B73EE">
        <w:t xml:space="preserve"> teknolojiler ile çalışan uçaklar geliştirmesi, havacılıktan kaynaklanan emisyonların azaltılmasını destekleyecek.</w:t>
      </w:r>
    </w:p>
    <w:p w:rsidR="008F607C" w:rsidRDefault="008F607C">
      <w:bookmarkStart w:id="0" w:name="_GoBack"/>
      <w:bookmarkEnd w:id="0"/>
    </w:p>
    <w:sectPr w:rsidR="008F60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73EE"/>
    <w:rsid w:val="006B73EE"/>
    <w:rsid w:val="008F60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0FACC9-E7C7-42E4-978E-2683811F4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B73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8300829">
      <w:bodyDiv w:val="1"/>
      <w:marLeft w:val="0"/>
      <w:marRight w:val="0"/>
      <w:marTop w:val="0"/>
      <w:marBottom w:val="0"/>
      <w:divBdr>
        <w:top w:val="none" w:sz="0" w:space="0" w:color="auto"/>
        <w:left w:val="none" w:sz="0" w:space="0" w:color="auto"/>
        <w:bottom w:val="none" w:sz="0" w:space="0" w:color="auto"/>
        <w:right w:val="none" w:sz="0" w:space="0" w:color="auto"/>
      </w:divBdr>
      <w:divsChild>
        <w:div w:id="547450050">
          <w:marLeft w:val="0"/>
          <w:marRight w:val="0"/>
          <w:marTop w:val="0"/>
          <w:marBottom w:val="300"/>
          <w:divBdr>
            <w:top w:val="none" w:sz="0" w:space="0" w:color="auto"/>
            <w:left w:val="none" w:sz="0" w:space="0" w:color="auto"/>
            <w:bottom w:val="none" w:sz="0" w:space="0" w:color="auto"/>
            <w:right w:val="none" w:sz="0" w:space="0" w:color="auto"/>
          </w:divBdr>
          <w:divsChild>
            <w:div w:id="42562455">
              <w:marLeft w:val="0"/>
              <w:marRight w:val="0"/>
              <w:marTop w:val="600"/>
              <w:marBottom w:val="0"/>
              <w:divBdr>
                <w:top w:val="none" w:sz="0" w:space="0" w:color="auto"/>
                <w:left w:val="none" w:sz="0" w:space="0" w:color="auto"/>
                <w:bottom w:val="none" w:sz="0" w:space="0" w:color="auto"/>
                <w:right w:val="none" w:sz="0" w:space="0" w:color="auto"/>
              </w:divBdr>
            </w:div>
          </w:divsChild>
        </w:div>
        <w:div w:id="1390962660">
          <w:marLeft w:val="0"/>
          <w:marRight w:val="0"/>
          <w:marTop w:val="0"/>
          <w:marBottom w:val="300"/>
          <w:divBdr>
            <w:top w:val="none" w:sz="0" w:space="0" w:color="auto"/>
            <w:left w:val="none" w:sz="0" w:space="0" w:color="auto"/>
            <w:bottom w:val="none" w:sz="0" w:space="0" w:color="auto"/>
            <w:right w:val="none" w:sz="0" w:space="0" w:color="auto"/>
          </w:divBdr>
          <w:divsChild>
            <w:div w:id="2063140359">
              <w:marLeft w:val="0"/>
              <w:marRight w:val="0"/>
              <w:marTop w:val="0"/>
              <w:marBottom w:val="0"/>
              <w:divBdr>
                <w:top w:val="none" w:sz="0" w:space="0" w:color="auto"/>
                <w:left w:val="none" w:sz="0" w:space="0" w:color="auto"/>
                <w:bottom w:val="none" w:sz="0" w:space="0" w:color="auto"/>
                <w:right w:val="none" w:sz="0" w:space="0" w:color="auto"/>
              </w:divBdr>
            </w:div>
          </w:divsChild>
        </w:div>
        <w:div w:id="772211668">
          <w:marLeft w:val="0"/>
          <w:marRight w:val="0"/>
          <w:marTop w:val="0"/>
          <w:marBottom w:val="300"/>
          <w:divBdr>
            <w:top w:val="none" w:sz="0" w:space="0" w:color="auto"/>
            <w:left w:val="none" w:sz="0" w:space="0" w:color="auto"/>
            <w:bottom w:val="none" w:sz="0" w:space="0" w:color="auto"/>
            <w:right w:val="none" w:sz="0" w:space="0" w:color="auto"/>
          </w:divBdr>
          <w:divsChild>
            <w:div w:id="1323898876">
              <w:marLeft w:val="0"/>
              <w:marRight w:val="0"/>
              <w:marTop w:val="600"/>
              <w:marBottom w:val="0"/>
              <w:divBdr>
                <w:top w:val="none" w:sz="0" w:space="0" w:color="auto"/>
                <w:left w:val="none" w:sz="0" w:space="0" w:color="auto"/>
                <w:bottom w:val="none" w:sz="0" w:space="0" w:color="auto"/>
                <w:right w:val="none" w:sz="0" w:space="0" w:color="auto"/>
              </w:divBdr>
            </w:div>
          </w:divsChild>
        </w:div>
        <w:div w:id="554395473">
          <w:marLeft w:val="0"/>
          <w:marRight w:val="0"/>
          <w:marTop w:val="0"/>
          <w:marBottom w:val="300"/>
          <w:divBdr>
            <w:top w:val="none" w:sz="0" w:space="0" w:color="auto"/>
            <w:left w:val="none" w:sz="0" w:space="0" w:color="auto"/>
            <w:bottom w:val="none" w:sz="0" w:space="0" w:color="auto"/>
            <w:right w:val="none" w:sz="0" w:space="0" w:color="auto"/>
          </w:divBdr>
          <w:divsChild>
            <w:div w:id="1541167214">
              <w:marLeft w:val="0"/>
              <w:marRight w:val="0"/>
              <w:marTop w:val="0"/>
              <w:marBottom w:val="0"/>
              <w:divBdr>
                <w:top w:val="none" w:sz="0" w:space="0" w:color="auto"/>
                <w:left w:val="none" w:sz="0" w:space="0" w:color="auto"/>
                <w:bottom w:val="none" w:sz="0" w:space="0" w:color="auto"/>
                <w:right w:val="none" w:sz="0" w:space="0" w:color="auto"/>
              </w:divBdr>
            </w:div>
          </w:divsChild>
        </w:div>
        <w:div w:id="315115323">
          <w:marLeft w:val="0"/>
          <w:marRight w:val="0"/>
          <w:marTop w:val="0"/>
          <w:marBottom w:val="300"/>
          <w:divBdr>
            <w:top w:val="none" w:sz="0" w:space="0" w:color="auto"/>
            <w:left w:val="none" w:sz="0" w:space="0" w:color="auto"/>
            <w:bottom w:val="none" w:sz="0" w:space="0" w:color="auto"/>
            <w:right w:val="none" w:sz="0" w:space="0" w:color="auto"/>
          </w:divBdr>
          <w:divsChild>
            <w:div w:id="735587161">
              <w:marLeft w:val="0"/>
              <w:marRight w:val="0"/>
              <w:marTop w:val="600"/>
              <w:marBottom w:val="0"/>
              <w:divBdr>
                <w:top w:val="none" w:sz="0" w:space="0" w:color="auto"/>
                <w:left w:val="none" w:sz="0" w:space="0" w:color="auto"/>
                <w:bottom w:val="none" w:sz="0" w:space="0" w:color="auto"/>
                <w:right w:val="none" w:sz="0" w:space="0" w:color="auto"/>
              </w:divBdr>
            </w:div>
          </w:divsChild>
        </w:div>
        <w:div w:id="519665827">
          <w:marLeft w:val="0"/>
          <w:marRight w:val="0"/>
          <w:marTop w:val="0"/>
          <w:marBottom w:val="300"/>
          <w:divBdr>
            <w:top w:val="none" w:sz="0" w:space="0" w:color="auto"/>
            <w:left w:val="none" w:sz="0" w:space="0" w:color="auto"/>
            <w:bottom w:val="none" w:sz="0" w:space="0" w:color="auto"/>
            <w:right w:val="none" w:sz="0" w:space="0" w:color="auto"/>
          </w:divBdr>
          <w:divsChild>
            <w:div w:id="1020933671">
              <w:marLeft w:val="0"/>
              <w:marRight w:val="0"/>
              <w:marTop w:val="0"/>
              <w:marBottom w:val="0"/>
              <w:divBdr>
                <w:top w:val="none" w:sz="0" w:space="0" w:color="auto"/>
                <w:left w:val="none" w:sz="0" w:space="0" w:color="auto"/>
                <w:bottom w:val="none" w:sz="0" w:space="0" w:color="auto"/>
                <w:right w:val="none" w:sz="0" w:space="0" w:color="auto"/>
              </w:divBdr>
            </w:div>
          </w:divsChild>
        </w:div>
        <w:div w:id="686519207">
          <w:marLeft w:val="0"/>
          <w:marRight w:val="0"/>
          <w:marTop w:val="0"/>
          <w:marBottom w:val="300"/>
          <w:divBdr>
            <w:top w:val="none" w:sz="0" w:space="0" w:color="auto"/>
            <w:left w:val="none" w:sz="0" w:space="0" w:color="auto"/>
            <w:bottom w:val="none" w:sz="0" w:space="0" w:color="auto"/>
            <w:right w:val="none" w:sz="0" w:space="0" w:color="auto"/>
          </w:divBdr>
          <w:divsChild>
            <w:div w:id="620385557">
              <w:marLeft w:val="0"/>
              <w:marRight w:val="0"/>
              <w:marTop w:val="600"/>
              <w:marBottom w:val="0"/>
              <w:divBdr>
                <w:top w:val="none" w:sz="0" w:space="0" w:color="auto"/>
                <w:left w:val="none" w:sz="0" w:space="0" w:color="auto"/>
                <w:bottom w:val="none" w:sz="0" w:space="0" w:color="auto"/>
                <w:right w:val="none" w:sz="0" w:space="0" w:color="auto"/>
              </w:divBdr>
            </w:div>
          </w:divsChild>
        </w:div>
        <w:div w:id="1505438594">
          <w:marLeft w:val="0"/>
          <w:marRight w:val="0"/>
          <w:marTop w:val="0"/>
          <w:marBottom w:val="300"/>
          <w:divBdr>
            <w:top w:val="none" w:sz="0" w:space="0" w:color="auto"/>
            <w:left w:val="none" w:sz="0" w:space="0" w:color="auto"/>
            <w:bottom w:val="none" w:sz="0" w:space="0" w:color="auto"/>
            <w:right w:val="none" w:sz="0" w:space="0" w:color="auto"/>
          </w:divBdr>
          <w:divsChild>
            <w:div w:id="213224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6908">
      <w:bodyDiv w:val="1"/>
      <w:marLeft w:val="0"/>
      <w:marRight w:val="0"/>
      <w:marTop w:val="0"/>
      <w:marBottom w:val="0"/>
      <w:divBdr>
        <w:top w:val="none" w:sz="0" w:space="0" w:color="auto"/>
        <w:left w:val="none" w:sz="0" w:space="0" w:color="auto"/>
        <w:bottom w:val="none" w:sz="0" w:space="0" w:color="auto"/>
        <w:right w:val="none" w:sz="0" w:space="0" w:color="auto"/>
      </w:divBdr>
      <w:divsChild>
        <w:div w:id="1810516326">
          <w:marLeft w:val="0"/>
          <w:marRight w:val="0"/>
          <w:marTop w:val="0"/>
          <w:marBottom w:val="300"/>
          <w:divBdr>
            <w:top w:val="none" w:sz="0" w:space="0" w:color="auto"/>
            <w:left w:val="none" w:sz="0" w:space="0" w:color="auto"/>
            <w:bottom w:val="none" w:sz="0" w:space="0" w:color="auto"/>
            <w:right w:val="none" w:sz="0" w:space="0" w:color="auto"/>
          </w:divBdr>
          <w:divsChild>
            <w:div w:id="2053261230">
              <w:marLeft w:val="0"/>
              <w:marRight w:val="0"/>
              <w:marTop w:val="600"/>
              <w:marBottom w:val="0"/>
              <w:divBdr>
                <w:top w:val="none" w:sz="0" w:space="0" w:color="auto"/>
                <w:left w:val="none" w:sz="0" w:space="0" w:color="auto"/>
                <w:bottom w:val="none" w:sz="0" w:space="0" w:color="auto"/>
                <w:right w:val="none" w:sz="0" w:space="0" w:color="auto"/>
              </w:divBdr>
            </w:div>
          </w:divsChild>
        </w:div>
        <w:div w:id="24454679">
          <w:marLeft w:val="0"/>
          <w:marRight w:val="0"/>
          <w:marTop w:val="0"/>
          <w:marBottom w:val="300"/>
          <w:divBdr>
            <w:top w:val="none" w:sz="0" w:space="0" w:color="auto"/>
            <w:left w:val="none" w:sz="0" w:space="0" w:color="auto"/>
            <w:bottom w:val="none" w:sz="0" w:space="0" w:color="auto"/>
            <w:right w:val="none" w:sz="0" w:space="0" w:color="auto"/>
          </w:divBdr>
          <w:divsChild>
            <w:div w:id="1946186340">
              <w:marLeft w:val="0"/>
              <w:marRight w:val="0"/>
              <w:marTop w:val="0"/>
              <w:marBottom w:val="0"/>
              <w:divBdr>
                <w:top w:val="none" w:sz="0" w:space="0" w:color="auto"/>
                <w:left w:val="none" w:sz="0" w:space="0" w:color="auto"/>
                <w:bottom w:val="none" w:sz="0" w:space="0" w:color="auto"/>
                <w:right w:val="none" w:sz="0" w:space="0" w:color="auto"/>
              </w:divBdr>
            </w:div>
          </w:divsChild>
        </w:div>
        <w:div w:id="61371261">
          <w:marLeft w:val="0"/>
          <w:marRight w:val="0"/>
          <w:marTop w:val="0"/>
          <w:marBottom w:val="300"/>
          <w:divBdr>
            <w:top w:val="none" w:sz="0" w:space="0" w:color="auto"/>
            <w:left w:val="none" w:sz="0" w:space="0" w:color="auto"/>
            <w:bottom w:val="none" w:sz="0" w:space="0" w:color="auto"/>
            <w:right w:val="none" w:sz="0" w:space="0" w:color="auto"/>
          </w:divBdr>
          <w:divsChild>
            <w:div w:id="1150290868">
              <w:marLeft w:val="0"/>
              <w:marRight w:val="0"/>
              <w:marTop w:val="600"/>
              <w:marBottom w:val="0"/>
              <w:divBdr>
                <w:top w:val="none" w:sz="0" w:space="0" w:color="auto"/>
                <w:left w:val="none" w:sz="0" w:space="0" w:color="auto"/>
                <w:bottom w:val="none" w:sz="0" w:space="0" w:color="auto"/>
                <w:right w:val="none" w:sz="0" w:space="0" w:color="auto"/>
              </w:divBdr>
            </w:div>
          </w:divsChild>
        </w:div>
        <w:div w:id="309485227">
          <w:marLeft w:val="0"/>
          <w:marRight w:val="0"/>
          <w:marTop w:val="0"/>
          <w:marBottom w:val="300"/>
          <w:divBdr>
            <w:top w:val="none" w:sz="0" w:space="0" w:color="auto"/>
            <w:left w:val="none" w:sz="0" w:space="0" w:color="auto"/>
            <w:bottom w:val="none" w:sz="0" w:space="0" w:color="auto"/>
            <w:right w:val="none" w:sz="0" w:space="0" w:color="auto"/>
          </w:divBdr>
          <w:divsChild>
            <w:div w:id="1019893446">
              <w:marLeft w:val="0"/>
              <w:marRight w:val="0"/>
              <w:marTop w:val="0"/>
              <w:marBottom w:val="0"/>
              <w:divBdr>
                <w:top w:val="none" w:sz="0" w:space="0" w:color="auto"/>
                <w:left w:val="none" w:sz="0" w:space="0" w:color="auto"/>
                <w:bottom w:val="none" w:sz="0" w:space="0" w:color="auto"/>
                <w:right w:val="none" w:sz="0" w:space="0" w:color="auto"/>
              </w:divBdr>
            </w:div>
          </w:divsChild>
        </w:div>
        <w:div w:id="901984865">
          <w:marLeft w:val="0"/>
          <w:marRight w:val="0"/>
          <w:marTop w:val="0"/>
          <w:marBottom w:val="300"/>
          <w:divBdr>
            <w:top w:val="none" w:sz="0" w:space="0" w:color="auto"/>
            <w:left w:val="none" w:sz="0" w:space="0" w:color="auto"/>
            <w:bottom w:val="none" w:sz="0" w:space="0" w:color="auto"/>
            <w:right w:val="none" w:sz="0" w:space="0" w:color="auto"/>
          </w:divBdr>
          <w:divsChild>
            <w:div w:id="1696618333">
              <w:marLeft w:val="0"/>
              <w:marRight w:val="0"/>
              <w:marTop w:val="600"/>
              <w:marBottom w:val="0"/>
              <w:divBdr>
                <w:top w:val="none" w:sz="0" w:space="0" w:color="auto"/>
                <w:left w:val="none" w:sz="0" w:space="0" w:color="auto"/>
                <w:bottom w:val="none" w:sz="0" w:space="0" w:color="auto"/>
                <w:right w:val="none" w:sz="0" w:space="0" w:color="auto"/>
              </w:divBdr>
            </w:div>
          </w:divsChild>
        </w:div>
        <w:div w:id="229002163">
          <w:marLeft w:val="0"/>
          <w:marRight w:val="0"/>
          <w:marTop w:val="0"/>
          <w:marBottom w:val="300"/>
          <w:divBdr>
            <w:top w:val="none" w:sz="0" w:space="0" w:color="auto"/>
            <w:left w:val="none" w:sz="0" w:space="0" w:color="auto"/>
            <w:bottom w:val="none" w:sz="0" w:space="0" w:color="auto"/>
            <w:right w:val="none" w:sz="0" w:space="0" w:color="auto"/>
          </w:divBdr>
          <w:divsChild>
            <w:div w:id="1009871493">
              <w:marLeft w:val="0"/>
              <w:marRight w:val="0"/>
              <w:marTop w:val="0"/>
              <w:marBottom w:val="0"/>
              <w:divBdr>
                <w:top w:val="none" w:sz="0" w:space="0" w:color="auto"/>
                <w:left w:val="none" w:sz="0" w:space="0" w:color="auto"/>
                <w:bottom w:val="none" w:sz="0" w:space="0" w:color="auto"/>
                <w:right w:val="none" w:sz="0" w:space="0" w:color="auto"/>
              </w:divBdr>
            </w:div>
          </w:divsChild>
        </w:div>
        <w:div w:id="627901830">
          <w:marLeft w:val="0"/>
          <w:marRight w:val="0"/>
          <w:marTop w:val="0"/>
          <w:marBottom w:val="300"/>
          <w:divBdr>
            <w:top w:val="none" w:sz="0" w:space="0" w:color="auto"/>
            <w:left w:val="none" w:sz="0" w:space="0" w:color="auto"/>
            <w:bottom w:val="none" w:sz="0" w:space="0" w:color="auto"/>
            <w:right w:val="none" w:sz="0" w:space="0" w:color="auto"/>
          </w:divBdr>
          <w:divsChild>
            <w:div w:id="889069805">
              <w:marLeft w:val="0"/>
              <w:marRight w:val="0"/>
              <w:marTop w:val="600"/>
              <w:marBottom w:val="0"/>
              <w:divBdr>
                <w:top w:val="none" w:sz="0" w:space="0" w:color="auto"/>
                <w:left w:val="none" w:sz="0" w:space="0" w:color="auto"/>
                <w:bottom w:val="none" w:sz="0" w:space="0" w:color="auto"/>
                <w:right w:val="none" w:sz="0" w:space="0" w:color="auto"/>
              </w:divBdr>
            </w:div>
          </w:divsChild>
        </w:div>
        <w:div w:id="323240383">
          <w:marLeft w:val="0"/>
          <w:marRight w:val="0"/>
          <w:marTop w:val="0"/>
          <w:marBottom w:val="300"/>
          <w:divBdr>
            <w:top w:val="none" w:sz="0" w:space="0" w:color="auto"/>
            <w:left w:val="none" w:sz="0" w:space="0" w:color="auto"/>
            <w:bottom w:val="none" w:sz="0" w:space="0" w:color="auto"/>
            <w:right w:val="none" w:sz="0" w:space="0" w:color="auto"/>
          </w:divBdr>
          <w:divsChild>
            <w:div w:id="203287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c.europa.eu/info/sites/default/files/fueleu_maritime_-_green_european_maritime_space.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cao.int/environmental-protection/CORSIA/Pages/default.aspx" TargetMode="External"/><Relationship Id="rId5" Type="http://schemas.openxmlformats.org/officeDocument/2006/relationships/hyperlink" Target="https://yesilbuyume.org/emisyon-ticaret-sisteminin-gozden-gecirilmesi/" TargetMode="External"/><Relationship Id="rId4" Type="http://schemas.openxmlformats.org/officeDocument/2006/relationships/hyperlink" Target="https://yesilbuyume.org/emisyon-ticaret-sisteminin-gozden-gecirilmesi/" TargetMode="Externa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690</Words>
  <Characters>3936</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 Çeliktaş</dc:creator>
  <cp:keywords/>
  <dc:description/>
  <cp:lastModifiedBy>Mahmut Çeliktaş</cp:lastModifiedBy>
  <cp:revision>1</cp:revision>
  <dcterms:created xsi:type="dcterms:W3CDTF">2024-09-07T20:58:00Z</dcterms:created>
  <dcterms:modified xsi:type="dcterms:W3CDTF">2024-09-07T20:58:00Z</dcterms:modified>
</cp:coreProperties>
</file>