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3A37" w:rsidRPr="00713A37" w:rsidRDefault="00713A37" w:rsidP="00713A37">
      <w:pPr>
        <w:rPr>
          <w:b/>
          <w:bCs/>
        </w:rPr>
      </w:pPr>
      <w:r w:rsidRPr="00713A37">
        <w:rPr>
          <w:b/>
          <w:bCs/>
        </w:rPr>
        <w:t>Kurumsal Sürdürülebilirlik Raporlama Direktifi</w:t>
      </w:r>
    </w:p>
    <w:p w:rsidR="00713A37" w:rsidRPr="00713A37" w:rsidRDefault="00713A37" w:rsidP="00713A37">
      <w:r w:rsidRPr="00713A37">
        <w:t>Küresel tedarik zincirlerinde kurumsal faaliyetlerin çevresel ve sosyal etkilerine ilişkin özen yükümlülüğünün tesis edilmesine yönelik AB yasal çerçevesini hazırlayan </w:t>
      </w:r>
      <w:hyperlink r:id="rId5" w:history="1">
        <w:r w:rsidRPr="00713A37">
          <w:rPr>
            <w:rStyle w:val="Kpr"/>
          </w:rPr>
          <w:t>Kurumsal Sürdürülebilirlik ve Özen Yükümlülüğü Direktifi</w:t>
        </w:r>
      </w:hyperlink>
      <w:r w:rsidRPr="00713A37">
        <w:t> Taslağı (</w:t>
      </w:r>
      <w:proofErr w:type="spellStart"/>
      <w:r w:rsidRPr="00713A37">
        <w:t>Corporate</w:t>
      </w:r>
      <w:proofErr w:type="spellEnd"/>
      <w:r w:rsidRPr="00713A37">
        <w:t xml:space="preserve"> </w:t>
      </w:r>
      <w:proofErr w:type="spellStart"/>
      <w:r w:rsidRPr="00713A37">
        <w:t>Sustainability</w:t>
      </w:r>
      <w:proofErr w:type="spellEnd"/>
      <w:r w:rsidRPr="00713A37">
        <w:t xml:space="preserve"> </w:t>
      </w:r>
      <w:proofErr w:type="spellStart"/>
      <w:r w:rsidRPr="00713A37">
        <w:t>Due</w:t>
      </w:r>
      <w:proofErr w:type="spellEnd"/>
      <w:r w:rsidRPr="00713A37">
        <w:t xml:space="preserve"> </w:t>
      </w:r>
      <w:proofErr w:type="spellStart"/>
      <w:r w:rsidRPr="00713A37">
        <w:t>Diligence</w:t>
      </w:r>
      <w:proofErr w:type="spellEnd"/>
      <w:r w:rsidRPr="00713A37">
        <w:t xml:space="preserve"> </w:t>
      </w:r>
      <w:proofErr w:type="spellStart"/>
      <w:r w:rsidRPr="00713A37">
        <w:t>and</w:t>
      </w:r>
      <w:proofErr w:type="spellEnd"/>
      <w:r w:rsidRPr="00713A37">
        <w:t xml:space="preserve"> </w:t>
      </w:r>
      <w:proofErr w:type="spellStart"/>
      <w:r w:rsidRPr="00713A37">
        <w:t>amending</w:t>
      </w:r>
      <w:proofErr w:type="spellEnd"/>
      <w:r w:rsidRPr="00713A37">
        <w:t xml:space="preserve"> Directive -CSDD) Avrupa Komisyonu tarafından 23 Şubat 2022 tarihinde yayımlanmıştır.</w:t>
      </w:r>
      <w:r w:rsidRPr="00713A37">
        <w:br/>
        <w:t> </w:t>
      </w:r>
      <w:r w:rsidRPr="00713A37">
        <w:br/>
        <w:t>Akabinde Komisyon tarafından 5 Ocak 2023 tarihinde yayınlanan </w:t>
      </w:r>
      <w:hyperlink r:id="rId6" w:history="1">
        <w:r w:rsidRPr="00713A37">
          <w:rPr>
            <w:rStyle w:val="Kpr"/>
          </w:rPr>
          <w:t>Kurumsal Sürdürülebilirlik Raporlama Direktifi</w:t>
        </w:r>
      </w:hyperlink>
      <w:r w:rsidRPr="00713A37">
        <w:t> ile (</w:t>
      </w:r>
      <w:proofErr w:type="spellStart"/>
      <w:r w:rsidRPr="00713A37">
        <w:t>Corporate</w:t>
      </w:r>
      <w:proofErr w:type="spellEnd"/>
      <w:r w:rsidRPr="00713A37">
        <w:t xml:space="preserve"> </w:t>
      </w:r>
      <w:proofErr w:type="spellStart"/>
      <w:r w:rsidRPr="00713A37">
        <w:t>Sustainability</w:t>
      </w:r>
      <w:proofErr w:type="spellEnd"/>
      <w:r w:rsidRPr="00713A37">
        <w:t xml:space="preserve"> </w:t>
      </w:r>
      <w:proofErr w:type="spellStart"/>
      <w:r w:rsidRPr="00713A37">
        <w:t>Reporting</w:t>
      </w:r>
      <w:proofErr w:type="spellEnd"/>
      <w:r w:rsidRPr="00713A37">
        <w:t xml:space="preserve"> Directive -CSRD) AB’de faaliyet gösteren belli büyüklükteki firmalara özen yükümlülüğünü şirket politikalarına </w:t>
      </w:r>
      <w:proofErr w:type="gramStart"/>
      <w:r w:rsidRPr="00713A37">
        <w:t>entegre</w:t>
      </w:r>
      <w:proofErr w:type="gramEnd"/>
      <w:r w:rsidRPr="00713A37">
        <w:t xml:space="preserve"> etme, faaliyetlerinin sosyal ve çevresel etkilerini tespit etme, potansiyel olumsuz etkileri önleme ve azaltma, mevcut olumsuz etkileri ortadan kaldırma ve bunları raporlama zorunluğu getirilmesi hedeflenmektedir.</w:t>
      </w:r>
      <w:r w:rsidRPr="00713A37">
        <w:br/>
        <w:t> </w:t>
      </w:r>
      <w:r w:rsidRPr="00713A37">
        <w:br/>
        <w:t xml:space="preserve">Bu çerçevede, Kurumsal Sürdürülebilirlik Raporlama </w:t>
      </w:r>
      <w:proofErr w:type="spellStart"/>
      <w:r w:rsidRPr="00713A37">
        <w:t>Direktifi’ne</w:t>
      </w:r>
      <w:proofErr w:type="spellEnd"/>
      <w:r w:rsidRPr="00713A37">
        <w:t xml:space="preserve"> tabi tüm şirketler tarafından kullanılmak üzere, 31 Temmuz 2023 tarihinde Avrupa Komisyonu tarafından </w:t>
      </w:r>
      <w:hyperlink r:id="rId7" w:history="1">
        <w:r w:rsidRPr="00713A37">
          <w:rPr>
            <w:rStyle w:val="Kpr"/>
          </w:rPr>
          <w:t>Avrupa Sürdürülebilirlik Raporlama Standartları</w:t>
        </w:r>
      </w:hyperlink>
      <w:r w:rsidRPr="00713A37">
        <w:t> (</w:t>
      </w:r>
      <w:proofErr w:type="spellStart"/>
      <w:r w:rsidRPr="00713A37">
        <w:t>European</w:t>
      </w:r>
      <w:proofErr w:type="spellEnd"/>
      <w:r w:rsidRPr="00713A37">
        <w:t xml:space="preserve"> </w:t>
      </w:r>
      <w:proofErr w:type="spellStart"/>
      <w:r w:rsidRPr="00713A37">
        <w:t>Sustainability</w:t>
      </w:r>
      <w:proofErr w:type="spellEnd"/>
      <w:r w:rsidRPr="00713A37">
        <w:t xml:space="preserve"> </w:t>
      </w:r>
      <w:proofErr w:type="spellStart"/>
      <w:r w:rsidRPr="00713A37">
        <w:t>Reporting</w:t>
      </w:r>
      <w:proofErr w:type="spellEnd"/>
      <w:r w:rsidRPr="00713A37">
        <w:t xml:space="preserve"> </w:t>
      </w:r>
      <w:proofErr w:type="spellStart"/>
      <w:r w:rsidRPr="00713A37">
        <w:t>Standards</w:t>
      </w:r>
      <w:proofErr w:type="spellEnd"/>
      <w:r w:rsidRPr="00713A37">
        <w:t>-ESRS) kabul edilmiştir. Komisyon tarafından yapılan açıklamada;</w:t>
      </w:r>
    </w:p>
    <w:p w:rsidR="00713A37" w:rsidRPr="00713A37" w:rsidRDefault="00713A37" w:rsidP="00713A37">
      <w:pPr>
        <w:numPr>
          <w:ilvl w:val="0"/>
          <w:numId w:val="1"/>
        </w:numPr>
      </w:pPr>
      <w:r w:rsidRPr="00713A37">
        <w:t xml:space="preserve">Standartların, iklim değişikliği, biyolojik çeşitlilik ve insan hakları da </w:t>
      </w:r>
      <w:proofErr w:type="gramStart"/>
      <w:r w:rsidRPr="00713A37">
        <w:t>dahil</w:t>
      </w:r>
      <w:proofErr w:type="gramEnd"/>
      <w:r w:rsidRPr="00713A37">
        <w:t xml:space="preserve"> olmak üzere tüm çevresel, sosyal ve yönetişim konularını kapsadığı,</w:t>
      </w:r>
    </w:p>
    <w:p w:rsidR="00713A37" w:rsidRPr="00713A37" w:rsidRDefault="00713A37" w:rsidP="00713A37">
      <w:pPr>
        <w:numPr>
          <w:ilvl w:val="0"/>
          <w:numId w:val="1"/>
        </w:numPr>
      </w:pPr>
      <w:r w:rsidRPr="00713A37">
        <w:t>Yatırımcıların, yatırım yaptıkları şirketlerin sürdürülebilirlik etkisini anlamaları için bilgi edinmesinin amaçlandığı,</w:t>
      </w:r>
    </w:p>
    <w:p w:rsidR="00713A37" w:rsidRPr="00713A37" w:rsidRDefault="00713A37" w:rsidP="00713A37">
      <w:pPr>
        <w:numPr>
          <w:ilvl w:val="0"/>
          <w:numId w:val="1"/>
        </w:numPr>
      </w:pPr>
      <w:r w:rsidRPr="00713A37">
        <w:t xml:space="preserve">AB standartları ve küresel standartlar arasında birlikte çalışabilirliği sağlamak ve şirketler tarafından gereksiz yere çifte raporlamayı önlemek için Uluslararası Sürdürülebilirlik Standartları Kurulu (International </w:t>
      </w:r>
      <w:proofErr w:type="spellStart"/>
      <w:r w:rsidRPr="00713A37">
        <w:t>Sustainability</w:t>
      </w:r>
      <w:proofErr w:type="spellEnd"/>
      <w:r w:rsidRPr="00713A37">
        <w:t xml:space="preserve"> </w:t>
      </w:r>
      <w:proofErr w:type="spellStart"/>
      <w:r w:rsidRPr="00713A37">
        <w:t>Standards</w:t>
      </w:r>
      <w:proofErr w:type="spellEnd"/>
      <w:r w:rsidRPr="00713A37">
        <w:t xml:space="preserve"> Board- ISSB) ve Küresel Raporlama Girişimi (Global </w:t>
      </w:r>
      <w:proofErr w:type="spellStart"/>
      <w:r w:rsidRPr="00713A37">
        <w:t>Reporting</w:t>
      </w:r>
      <w:proofErr w:type="spellEnd"/>
      <w:r w:rsidRPr="00713A37">
        <w:t xml:space="preserve"> </w:t>
      </w:r>
      <w:proofErr w:type="spellStart"/>
      <w:r w:rsidRPr="00713A37">
        <w:t>Initiative</w:t>
      </w:r>
      <w:proofErr w:type="spellEnd"/>
      <w:r w:rsidRPr="00713A37">
        <w:t>-GRI) ile yapılan görüşmelerin de dikkate alındığı,</w:t>
      </w:r>
    </w:p>
    <w:p w:rsidR="00713A37" w:rsidRPr="00713A37" w:rsidRDefault="00713A37" w:rsidP="00713A37">
      <w:pPr>
        <w:numPr>
          <w:ilvl w:val="0"/>
          <w:numId w:val="1"/>
        </w:numPr>
      </w:pPr>
      <w:r w:rsidRPr="00713A37">
        <w:t>Raporlama gerekliliklerinin, farklı şirketler için zaman içinde aşamalı olarak uygulanacağı</w:t>
      </w:r>
    </w:p>
    <w:p w:rsidR="00713A37" w:rsidRPr="00713A37" w:rsidRDefault="00713A37" w:rsidP="00713A37">
      <w:proofErr w:type="gramStart"/>
      <w:r w:rsidRPr="00713A37">
        <w:t>bildirilmektedir</w:t>
      </w:r>
      <w:proofErr w:type="gramEnd"/>
      <w:r w:rsidRPr="00713A37">
        <w:t>.</w:t>
      </w:r>
      <w:r w:rsidRPr="00713A37">
        <w:br/>
        <w:t> </w:t>
      </w:r>
      <w:r w:rsidRPr="00713A37">
        <w:br/>
        <w:t>Komisyon tarafından kabul edilen Yönetmeliğin (ESRS) ekine </w:t>
      </w:r>
      <w:hyperlink r:id="rId8" w:history="1">
        <w:r w:rsidRPr="00713A37">
          <w:rPr>
            <w:rStyle w:val="Kpr"/>
          </w:rPr>
          <w:t>bu bağlantıdan</w:t>
        </w:r>
      </w:hyperlink>
      <w:r w:rsidRPr="00713A37">
        <w:t> erişim sağlanabilmektedir.</w:t>
      </w:r>
      <w:r w:rsidRPr="00713A37">
        <w:br/>
        <w:t> </w:t>
      </w:r>
      <w:r w:rsidRPr="00713A37">
        <w:br/>
        <w:t>Bundan sonraki süreçte, söz konusu Yönetmeliğin AB Resmî Gazetesi’nde yayımlanması, yayımı takip eden üçüncü günde yürürlüğe girmesi ve 1 Ocak 2024 tarihinden itibaren her mali yıl itibarıyla AB Üyesi Ülkelerde doğrudan uygulanması beklenmektedir.</w:t>
      </w:r>
      <w:r w:rsidRPr="00713A37">
        <w:br/>
        <w:t> </w:t>
      </w:r>
      <w:r w:rsidRPr="00713A37">
        <w:br/>
        <w:t>Türkiye’de ise 6102 sayılı Türk Ticaret Kanunu’nun 88’inci maddesine 4 Haziran 2022 tarihli ve 31856 sayılı Resmî Gazeteyle yapılan değişiklikle eklenen altıncı fıkra ile Türkiye Sürdürülebilirlik Standartlarının belirlenmesi ve yayımlanması yetkisi Kamu Gözetimi Kurumuna verilmiş olup çalışmalar hakkında güncel bilgiye kurum web sayfasından erişim sağlanabilmektedir.</w:t>
      </w:r>
    </w:p>
    <w:p w:rsidR="008F607C" w:rsidRDefault="008F607C">
      <w:bookmarkStart w:id="0" w:name="_GoBack"/>
      <w:bookmarkEnd w:id="0"/>
    </w:p>
    <w:sectPr w:rsidR="008F60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E17A65"/>
    <w:multiLevelType w:val="multilevel"/>
    <w:tmpl w:val="A156F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A37"/>
    <w:rsid w:val="00713A37"/>
    <w:rsid w:val="008F60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B66730-045B-45EE-9091-31B03DCA4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713A3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2132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caret.gov.tr/data/64d3a56a13b87670e08f97b2/Annex%201%20(002).pdf" TargetMode="External"/><Relationship Id="rId3" Type="http://schemas.openxmlformats.org/officeDocument/2006/relationships/settings" Target="settings.xml"/><Relationship Id="rId7" Type="http://schemas.openxmlformats.org/officeDocument/2006/relationships/hyperlink" Target="https://ticaret.gov.tr/data/64d3a56a13b87670e08f97b2/Commission%20Delegated%20Regulation%20(EU)%20(00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ur-lex.europa.eu/legal-content/EN/TXT/?uri=CELEX:32022L2464" TargetMode="External"/><Relationship Id="rId5" Type="http://schemas.openxmlformats.org/officeDocument/2006/relationships/hyperlink" Target="https://commission.europa.eu/publications/proposal-directive-corporate-sustainability-due-diligence-and-annex_e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466</Words>
  <Characters>2662</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Mahmut Çeliktaş</dc:creator>
  <cp:keywords/>
  <dc:description/>
  <cp:lastModifiedBy>Mahmut Çeliktaş</cp:lastModifiedBy>
  <cp:revision>1</cp:revision>
  <dcterms:created xsi:type="dcterms:W3CDTF">2024-09-07T20:56:00Z</dcterms:created>
  <dcterms:modified xsi:type="dcterms:W3CDTF">2024-09-07T20:56:00Z</dcterms:modified>
</cp:coreProperties>
</file>